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3E" w:rsidRDefault="00655B3E" w:rsidP="00655B3E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655B3E" w:rsidRDefault="00655B3E" w:rsidP="00655B3E">
      <w:pPr>
        <w:spacing w:before="240" w:after="240"/>
        <w:jc w:val="center"/>
        <w:rPr>
          <w:rFonts w:ascii="LitMtavrPS" w:hAnsi="LitMtavrPS"/>
          <w:b/>
          <w:noProof/>
          <w:sz w:val="28"/>
          <w:szCs w:val="28"/>
        </w:rPr>
      </w:pPr>
    </w:p>
    <w:p w:rsidR="00655B3E" w:rsidRPr="003D52DF" w:rsidRDefault="00655B3E" w:rsidP="00655B3E">
      <w:pPr>
        <w:spacing w:before="240" w:after="240"/>
        <w:jc w:val="center"/>
        <w:rPr>
          <w:rFonts w:ascii="LitMtavrPS" w:hAnsi="LitMtavrPS"/>
          <w:b/>
          <w:noProof/>
          <w:sz w:val="6"/>
          <w:szCs w:val="6"/>
        </w:rPr>
      </w:pPr>
    </w:p>
    <w:p w:rsidR="00655B3E" w:rsidRPr="00647E03" w:rsidRDefault="00655B3E" w:rsidP="00655B3E">
      <w:pPr>
        <w:spacing w:before="240" w:after="240"/>
        <w:jc w:val="center"/>
        <w:rPr>
          <w:rFonts w:ascii="Sylfaen" w:hAnsi="Sylfaen"/>
          <w:b/>
          <w:bCs/>
          <w:shadow/>
          <w:noProof/>
          <w:spacing w:val="76"/>
          <w:sz w:val="26"/>
          <w:szCs w:val="26"/>
          <w:lang w:val="ka-GE"/>
        </w:rPr>
      </w:pPr>
      <w:r w:rsidRPr="00647E03">
        <w:rPr>
          <w:rFonts w:ascii="LitNusx" w:hAnsi="LitNusx"/>
          <w:b/>
          <w:bCs/>
          <w:shadow/>
          <w:noProof/>
          <w:spacing w:val="76"/>
          <w:sz w:val="26"/>
          <w:szCs w:val="26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pt;margin-top:20.45pt;width:117pt;height:150.35pt;z-index:251660288" strokeweight=".5pt">
            <v:stroke color2="red" linestyle="thinThin"/>
            <v:imagedata embosscolor="shadow add(51)"/>
            <v:shadow on="t" type="emboss" color="lineOrFill darken(153)" color2="shadow add(102)" offset="1pt,1pt"/>
            <v:textbox style="mso-next-textbox:#_x0000_s1030">
              <w:txbxContent>
                <w:p w:rsidR="00655B3E" w:rsidRDefault="00655B3E" w:rsidP="00655B3E">
                  <w:pPr>
                    <w:rPr>
                      <w:lang w:val="af-ZA"/>
                    </w:rPr>
                  </w:pPr>
                  <w:r>
                    <w:rPr>
                      <w:rFonts w:ascii="LitMtavrPS" w:hAnsi="LitMtavrPS"/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94765" cy="1726565"/>
                        <wp:effectExtent l="19050" t="0" r="635" b="0"/>
                        <wp:docPr id="5" name="Picture 5" descr="ekaterine leJa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katerine leJa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4765" cy="1726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5B3E" w:rsidRDefault="00655B3E" w:rsidP="00655B3E">
                  <w:pPr>
                    <w:rPr>
                      <w:lang w:val="af-ZA"/>
                    </w:rPr>
                  </w:pPr>
                </w:p>
                <w:p w:rsidR="00655B3E" w:rsidRDefault="00655B3E" w:rsidP="00655B3E">
                  <w:pPr>
                    <w:rPr>
                      <w:lang w:val="af-ZA"/>
                    </w:rPr>
                  </w:pPr>
                </w:p>
                <w:p w:rsidR="00655B3E" w:rsidRDefault="00655B3E" w:rsidP="00655B3E">
                  <w:pPr>
                    <w:rPr>
                      <w:lang w:val="af-ZA"/>
                    </w:rPr>
                  </w:pPr>
                </w:p>
                <w:p w:rsidR="00655B3E" w:rsidRPr="00014575" w:rsidRDefault="00655B3E" w:rsidP="00655B3E">
                  <w:pPr>
                    <w:jc w:val="center"/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</w:pPr>
                  <w:r w:rsidRPr="00014575">
                    <w:rPr>
                      <w:rFonts w:ascii="LitMtavrPS" w:hAnsi="LitMtavrPS"/>
                      <w:sz w:val="22"/>
                      <w:szCs w:val="22"/>
                      <w:lang w:val="af-ZA"/>
                    </w:rPr>
                    <w:t>fotosuraTi</w:t>
                  </w:r>
                </w:p>
              </w:txbxContent>
            </v:textbox>
          </v:shape>
        </w:pict>
      </w:r>
      <w:r w:rsidRPr="00647E03">
        <w:rPr>
          <w:rFonts w:ascii="LitMtavrPS" w:hAnsi="LitMtavrPS"/>
          <w:b/>
          <w:noProof/>
          <w:sz w:val="26"/>
          <w:szCs w:val="26"/>
        </w:rPr>
        <w:t>kadrebis aRricxvis furceli</w:t>
      </w:r>
    </w:p>
    <w:p w:rsidR="00655B3E" w:rsidRPr="00014575" w:rsidRDefault="00655B3E" w:rsidP="00655B3E">
      <w:pPr>
        <w:jc w:val="both"/>
        <w:rPr>
          <w:rFonts w:ascii="LitNusx" w:hAnsi="LitNusx"/>
          <w:b/>
          <w:bCs/>
          <w:shadow/>
          <w:sz w:val="22"/>
          <w:szCs w:val="22"/>
          <w:lang w:val="af-ZA"/>
        </w:rPr>
      </w:pPr>
      <w:r w:rsidRPr="002C5225">
        <w:rPr>
          <w:rFonts w:ascii="LitNusx" w:hAnsi="LitNusx"/>
          <w:color w:val="1F497D"/>
          <w:sz w:val="22"/>
          <w:szCs w:val="22"/>
          <w:lang w:val="af-ZA"/>
        </w:rPr>
      </w:r>
      <w:r w:rsidRPr="002C5225">
        <w:rPr>
          <w:rFonts w:ascii="LitNusx" w:hAnsi="LitNusx"/>
          <w:color w:val="1F497D"/>
          <w:sz w:val="22"/>
          <w:szCs w:val="22"/>
          <w:lang w:val="af-ZA"/>
        </w:rPr>
        <w:pict>
          <v:shape id="_x0000_s1026" type="#_x0000_t202" style="width:495.75pt;height:19.45pt;mso-position-horizontal-relative:char;mso-position-vertical-relative:line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26">
              <w:txbxContent>
                <w:p w:rsidR="00655B3E" w:rsidRPr="00381B3D" w:rsidRDefault="00655B3E" w:rsidP="00655B3E">
                  <w:pPr>
                    <w:rPr>
                      <w:rFonts w:ascii="LitNusx" w:hAnsi="LitNusx"/>
                      <w:b/>
                      <w:color w:val="FFFFFF"/>
                      <w:sz w:val="22"/>
                      <w:szCs w:val="22"/>
                      <w:lang w:val="af-ZA"/>
                    </w:rPr>
                  </w:pPr>
                  <w: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piradi informacia</w:t>
                  </w:r>
                </w:p>
              </w:txbxContent>
            </v:textbox>
            <w10:anchorlock/>
          </v:shape>
        </w:pict>
      </w:r>
      <w:r w:rsidRPr="00014575">
        <w:rPr>
          <w:rFonts w:ascii="LitNusx" w:hAnsi="LitNusx"/>
          <w:b/>
          <w:bCs/>
          <w:shadow/>
          <w:sz w:val="22"/>
          <w:szCs w:val="22"/>
          <w:lang w:val="af-ZA"/>
        </w:rPr>
        <w:t xml:space="preserve"> </w:t>
      </w:r>
    </w:p>
    <w:p w:rsidR="00655B3E" w:rsidRDefault="00655B3E" w:rsidP="00655B3E">
      <w:pPr>
        <w:jc w:val="both"/>
        <w:rPr>
          <w:rFonts w:ascii="LitMtavrPS" w:hAnsi="LitMtavrPS"/>
          <w:sz w:val="20"/>
          <w:szCs w:val="20"/>
          <w:lang w:val="af-ZA"/>
        </w:rPr>
      </w:pPr>
    </w:p>
    <w:p w:rsidR="00655B3E" w:rsidRPr="00FE5C1D" w:rsidRDefault="00655B3E" w:rsidP="00655B3E">
      <w:pPr>
        <w:jc w:val="both"/>
        <w:rPr>
          <w:rFonts w:ascii="Sylfaen" w:hAnsi="Sylfaen"/>
          <w:sz w:val="22"/>
          <w:szCs w:val="22"/>
          <w:lang w:val="ka-GE"/>
        </w:rPr>
      </w:pPr>
      <w:r w:rsidRPr="00014575">
        <w:rPr>
          <w:rFonts w:ascii="LitMtavrPS" w:hAnsi="LitMtavrPS"/>
          <w:sz w:val="20"/>
          <w:szCs w:val="20"/>
          <w:lang w:val="af-ZA"/>
        </w:rPr>
        <w:t>gvari,</w:t>
      </w:r>
      <w:r w:rsidRPr="00014575">
        <w:rPr>
          <w:rFonts w:ascii="LitMtavrPS" w:hAnsi="LitMtavrPS"/>
          <w:sz w:val="22"/>
          <w:szCs w:val="22"/>
          <w:lang w:val="af-ZA"/>
        </w:rPr>
        <w:t xml:space="preserve"> </w:t>
      </w:r>
      <w:r w:rsidRPr="00014575">
        <w:rPr>
          <w:rFonts w:ascii="LitMtavrPS" w:hAnsi="LitMtavrPS"/>
          <w:sz w:val="20"/>
          <w:szCs w:val="20"/>
          <w:lang w:val="af-ZA"/>
        </w:rPr>
        <w:t>saxeli, mamis saxeli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014575">
        <w:rPr>
          <w:rFonts w:ascii="LitMtavrPS" w:hAnsi="LitMtavrPS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ლეჟავა ეკატერინე ომარის ასული</w:t>
      </w:r>
    </w:p>
    <w:p w:rsidR="00655B3E" w:rsidRDefault="00655B3E" w:rsidP="00655B3E">
      <w:pPr>
        <w:rPr>
          <w:rFonts w:ascii="LitNusx" w:hAnsi="LitNusx"/>
          <w:i/>
          <w:spacing w:val="-22"/>
          <w:sz w:val="20"/>
          <w:szCs w:val="20"/>
          <w:lang w:val="af-ZA"/>
        </w:rPr>
      </w:pPr>
      <w:r>
        <w:rPr>
          <w:rFonts w:ascii="LitMtavrPS" w:hAnsi="LitMtavrP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7.6pt;margin-top:-.25pt;width:188.4pt;height:0;z-index:251661312;mso-position-vertical-relative:line" o:connectortype="straight" strokeweight="1pt">
            <v:imagedata embosscolor="shadow add(51)"/>
            <v:shadow color="#868686"/>
          </v:shape>
        </w:pict>
      </w:r>
    </w:p>
    <w:p w:rsidR="00655B3E" w:rsidRDefault="00655B3E" w:rsidP="00655B3E">
      <w:pPr>
        <w:rPr>
          <w:rFonts w:ascii="LitNusx" w:hAnsi="LitNusx"/>
          <w:i/>
          <w:spacing w:val="-22"/>
          <w:sz w:val="20"/>
          <w:szCs w:val="20"/>
          <w:lang w:val="af-ZA"/>
        </w:rPr>
      </w:pPr>
      <w:r>
        <w:rPr>
          <w:rFonts w:ascii="LitNusx" w:hAnsi="LitNusx"/>
          <w:i/>
          <w:spacing w:val="-22"/>
          <w:sz w:val="20"/>
          <w:szCs w:val="20"/>
          <w:lang w:val="af-ZA"/>
        </w:rPr>
        <w:t>gTxovT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miuTiToT Tu Secvlili gaqvT gvari,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saxeli</w:t>
      </w:r>
      <w:r>
        <w:rPr>
          <w:rFonts w:ascii="LitNusx" w:hAnsi="LitNusx"/>
          <w:i/>
          <w:spacing w:val="-22"/>
          <w:sz w:val="20"/>
          <w:szCs w:val="20"/>
          <w:lang w:val="af-ZA"/>
        </w:rPr>
        <w:t xml:space="preserve"> 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>(</w:t>
      </w:r>
      <w:r w:rsidRPr="00014575">
        <w:rPr>
          <w:rFonts w:ascii="LitNusx" w:hAnsi="LitNusx"/>
          <w:i/>
          <w:sz w:val="20"/>
          <w:szCs w:val="20"/>
          <w:lang w:val="af-ZA"/>
        </w:rPr>
        <w:t>uCveneT rodis da ra mizeziT)</w: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</w:t>
      </w:r>
    </w:p>
    <w:p w:rsidR="00655B3E" w:rsidRPr="00014575" w:rsidRDefault="00655B3E" w:rsidP="00655B3E">
      <w:pPr>
        <w:rPr>
          <w:rFonts w:ascii="LitNusx" w:hAnsi="LitNusx"/>
          <w:sz w:val="22"/>
          <w:szCs w:val="22"/>
          <w:lang w:val="af-ZA"/>
        </w:rPr>
      </w:pPr>
      <w:r>
        <w:rPr>
          <w:rFonts w:ascii="LitNusx" w:hAnsi="LitNusx"/>
          <w:i/>
          <w:noProof/>
          <w:spacing w:val="-22"/>
          <w:sz w:val="20"/>
          <w:szCs w:val="20"/>
        </w:rPr>
        <w:pict>
          <v:shape id="_x0000_s1032" type="#_x0000_t32" style="position:absolute;margin-left:1.35pt;margin-top:10.3pt;width:364.65pt;height:0;z-index:251662336;mso-position-vertical-relative:line" o:connectortype="straight" strokeweight="1pt">
            <v:imagedata embosscolor="shadow add(51)"/>
            <v:shadow color="#868686"/>
          </v:shape>
        </w:pict>
      </w:r>
      <w:r w:rsidRPr="00014575">
        <w:rPr>
          <w:rFonts w:ascii="LitNusx" w:hAnsi="LitNusx"/>
          <w:i/>
          <w:spacing w:val="-22"/>
          <w:sz w:val="20"/>
          <w:szCs w:val="20"/>
          <w:lang w:val="af-ZA"/>
        </w:rPr>
        <w:t xml:space="preserve">            </w:t>
      </w:r>
    </w:p>
    <w:p w:rsidR="00655B3E" w:rsidRPr="00FE5C1D" w:rsidRDefault="00655B3E" w:rsidP="00655B3E">
      <w:pPr>
        <w:spacing w:before="240" w:after="240"/>
        <w:rPr>
          <w:rFonts w:ascii="Sylfaen" w:hAnsi="Sylfaen"/>
          <w:sz w:val="22"/>
          <w:szCs w:val="22"/>
          <w:lang w:val="ka-GE"/>
        </w:rPr>
      </w:pPr>
      <w:r>
        <w:rPr>
          <w:rFonts w:ascii="LitMtavrPS" w:hAnsi="LitMtavrPS"/>
          <w:noProof/>
          <w:sz w:val="20"/>
          <w:szCs w:val="20"/>
        </w:rPr>
        <w:pict>
          <v:shape id="_x0000_s1033" type="#_x0000_t32" style="position:absolute;margin-left:83.9pt;margin-top:23.4pt;width:282.1pt;height:0;z-index:251663360;mso-position-vertical-relative:line" o:connectortype="straight" strokeweight="1pt">
            <v:imagedata embosscolor="shadow add(51)"/>
            <v:shadow color="#868686"/>
          </v:shape>
        </w:pict>
      </w:r>
      <w:r>
        <w:rPr>
          <w:rFonts w:ascii="LitMtavrPS" w:hAnsi="LitMtavrPS"/>
          <w:sz w:val="20"/>
          <w:szCs w:val="20"/>
          <w:lang w:val="af-ZA"/>
        </w:rPr>
        <w:t>m</w:t>
      </w:r>
      <w:r w:rsidRPr="00E36C9E">
        <w:rPr>
          <w:rFonts w:ascii="LitMtavrPS" w:hAnsi="LitMtavrPS"/>
          <w:sz w:val="20"/>
          <w:szCs w:val="20"/>
          <w:lang w:val="af-ZA"/>
        </w:rPr>
        <w:t>oqalaqeoba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014575">
        <w:rPr>
          <w:rFonts w:ascii="LitNusx" w:hAnsi="LitNusx"/>
          <w:sz w:val="22"/>
          <w:szCs w:val="22"/>
          <w:lang w:val="af-ZA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საქართველო</w:t>
      </w:r>
    </w:p>
    <w:p w:rsidR="00655B3E" w:rsidRPr="00FE5C1D" w:rsidRDefault="00655B3E" w:rsidP="00655B3E">
      <w:pPr>
        <w:spacing w:before="240" w:after="240"/>
        <w:rPr>
          <w:rFonts w:ascii="Sylfaen" w:hAnsi="Sylfaen"/>
          <w:sz w:val="22"/>
          <w:szCs w:val="22"/>
          <w:lang w:val="ka-GE"/>
        </w:rPr>
      </w:pPr>
      <w:r>
        <w:rPr>
          <w:rFonts w:ascii="LitMtavrPS" w:hAnsi="LitMtavrPS"/>
          <w:noProof/>
          <w:sz w:val="20"/>
          <w:szCs w:val="20"/>
        </w:rPr>
        <w:pict>
          <v:shape id="_x0000_s1034" type="#_x0000_t32" style="position:absolute;margin-left:177.6pt;margin-top:11.7pt;width:188.4pt;height:0;z-index:251664384;mso-position-vertical-relative:line" o:connectortype="straight" strokeweight="1pt">
            <v:imagedata embosscolor="shadow add(51)"/>
            <v:shadow color="#868686"/>
          </v:shape>
        </w:pict>
      </w:r>
      <w:r w:rsidRPr="00E36C9E">
        <w:rPr>
          <w:rFonts w:ascii="LitMtavrPS" w:hAnsi="LitMtavrPS"/>
          <w:sz w:val="20"/>
          <w:szCs w:val="20"/>
          <w:lang w:val="af-ZA"/>
        </w:rPr>
        <w:t>dabadebis ricxvi, Tve, weli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E36C9E">
        <w:rPr>
          <w:rFonts w:ascii="LitMtavrPS" w:hAnsi="LitMtavrPS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01 მაისი, 1974წ.</w:t>
      </w:r>
    </w:p>
    <w:p w:rsidR="00655B3E" w:rsidRDefault="00655B3E" w:rsidP="00655B3E">
      <w:pPr>
        <w:tabs>
          <w:tab w:val="left" w:pos="3940"/>
        </w:tabs>
        <w:spacing w:before="240" w:after="240"/>
        <w:rPr>
          <w:rFonts w:ascii="LitNusx" w:hAnsi="LitNusx"/>
          <w:sz w:val="22"/>
          <w:szCs w:val="22"/>
          <w:lang w:val="af-ZA"/>
        </w:rPr>
      </w:pPr>
      <w:r w:rsidRPr="00E36C9E">
        <w:rPr>
          <w:rFonts w:ascii="LitMtavrPS" w:hAnsi="LitMtavrPS"/>
          <w:sz w:val="20"/>
          <w:szCs w:val="20"/>
          <w:lang w:val="af-ZA"/>
        </w:rPr>
        <w:t>ojaxuri mdgomareoba</w:t>
      </w:r>
      <w:r>
        <w:rPr>
          <w:rFonts w:ascii="LitMtavrPS" w:hAnsi="LitMtavrPS"/>
          <w:sz w:val="20"/>
          <w:szCs w:val="20"/>
          <w:lang w:val="af-ZA"/>
        </w:rPr>
        <w:t>:</w:t>
      </w:r>
      <w:r w:rsidRPr="00E36C9E">
        <w:rPr>
          <w:rFonts w:ascii="LitMtavrPS" w:hAnsi="LitMtavrPS"/>
          <w:sz w:val="20"/>
          <w:szCs w:val="20"/>
          <w:lang w:val="af-ZA"/>
        </w:rPr>
        <w:t xml:space="preserve"> </w:t>
      </w:r>
      <w:r>
        <w:rPr>
          <w:rFonts w:ascii="LitMtavrPS" w:hAnsi="LitMtavrPS"/>
          <w:sz w:val="20"/>
          <w:szCs w:val="20"/>
          <w:lang w:val="af-ZA"/>
        </w:rPr>
        <w:tab/>
      </w:r>
    </w:p>
    <w:p w:rsidR="00655B3E" w:rsidRPr="00765608" w:rsidRDefault="00655B3E" w:rsidP="00655B3E">
      <w:pPr>
        <w:spacing w:before="240" w:after="240"/>
        <w:ind w:left="2160" w:firstLine="720"/>
        <w:rPr>
          <w:rFonts w:ascii="LitNusx" w:hAnsi="LitNusx"/>
          <w:sz w:val="22"/>
          <w:szCs w:val="22"/>
          <w:lang w:val="af-ZA"/>
        </w:rPr>
      </w:pPr>
      <w:r w:rsidRPr="002E669A"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29" style="width:9pt;height:9pt;mso-position-horizontal-relative:char;mso-position-vertical-relative:line" fillcolor="black" strokecolor="#333">
            <v:imagedata embosscolor="shadow add(51)"/>
            <v:shadow on="t" type="emboss" color="lineOrFill darken(153)" color2="shadow add(102)" offset="1pt,1pt"/>
            <v:textbox>
              <w:txbxContent>
                <w:p w:rsidR="00655B3E" w:rsidRDefault="00655B3E" w:rsidP="00655B3E"/>
              </w:txbxContent>
            </v:textbox>
            <w10:wrap type="none"/>
            <w10:anchorlock/>
          </v:rect>
        </w:pict>
      </w:r>
      <w:r w:rsidRPr="00765608">
        <w:rPr>
          <w:rFonts w:ascii="LitNusx" w:hAnsi="LitNusx"/>
          <w:sz w:val="22"/>
          <w:szCs w:val="22"/>
          <w:lang w:val="af-ZA"/>
        </w:rPr>
        <w:t xml:space="preserve"> dasaojaxebeli </w:t>
      </w:r>
      <w:r w:rsidRPr="002E669A"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28" style="width:9pt;height:9pt;mso-position-horizontal-relative:char;mso-position-vertical-relative:line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Pr="00765608">
        <w:rPr>
          <w:rFonts w:ascii="LitNusx" w:hAnsi="LitNusx"/>
          <w:sz w:val="22"/>
          <w:szCs w:val="22"/>
          <w:lang w:val="af-ZA"/>
        </w:rPr>
        <w:t xml:space="preserve"> daojaxebuli </w:t>
      </w:r>
      <w:r w:rsidRPr="002E669A"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rect id="_x0000_s1027" style="width:9pt;height:9pt;mso-position-horizontal-relative:char;mso-position-vertical-relative:line" strokecolor="#333">
            <v:imagedata embosscolor="shadow add(51)"/>
            <v:shadow on="t" type="emboss" color="lineOrFill darken(153)" color2="shadow add(102)" offset="1pt,1pt"/>
            <w10:wrap type="none"/>
            <w10:anchorlock/>
          </v:rect>
        </w:pict>
      </w:r>
      <w:r w:rsidRPr="00765608">
        <w:rPr>
          <w:rFonts w:ascii="LitNusx" w:hAnsi="LitNusx"/>
          <w:sz w:val="22"/>
          <w:szCs w:val="22"/>
          <w:lang w:val="af-ZA"/>
        </w:rPr>
        <w:t xml:space="preserve"> ganqorwinebuli</w:t>
      </w:r>
    </w:p>
    <w:p w:rsidR="00655B3E" w:rsidRDefault="00655B3E" w:rsidP="00655B3E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655B3E" w:rsidRDefault="00655B3E" w:rsidP="00655B3E">
      <w:pPr>
        <w:spacing w:before="120" w:after="120"/>
        <w:rPr>
          <w:rFonts w:ascii="LitNusx" w:hAnsi="LitNusx"/>
          <w:sz w:val="22"/>
          <w:szCs w:val="22"/>
          <w:lang w:val="af-ZA"/>
        </w:rPr>
      </w:pPr>
    </w:p>
    <w:p w:rsidR="00655B3E" w:rsidRDefault="00655B3E" w:rsidP="00655B3E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655B3E" w:rsidRDefault="00655B3E" w:rsidP="00655B3E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p w:rsidR="00655B3E" w:rsidRPr="00014575" w:rsidRDefault="00655B3E" w:rsidP="00655B3E">
      <w:pPr>
        <w:spacing w:before="120" w:after="120"/>
        <w:rPr>
          <w:rFonts w:ascii="LitNusx" w:hAnsi="LitNusx"/>
          <w:sz w:val="6"/>
          <w:szCs w:val="6"/>
          <w:lang w:val="af-ZA"/>
        </w:rPr>
      </w:pP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20"/>
        <w:gridCol w:w="2736"/>
        <w:gridCol w:w="2106"/>
        <w:gridCol w:w="2178"/>
        <w:gridCol w:w="2160"/>
      </w:tblGrid>
      <w:tr w:rsidR="00655B3E" w:rsidRPr="00014575" w:rsidTr="000F7CB6">
        <w:tc>
          <w:tcPr>
            <w:tcW w:w="720" w:type="dxa"/>
            <w:shd w:val="clear" w:color="auto" w:fill="E6E6E6"/>
            <w:vAlign w:val="center"/>
          </w:tcPr>
          <w:p w:rsidR="00655B3E" w:rsidRPr="00014575" w:rsidRDefault="00655B3E" w:rsidP="000F7CB6">
            <w:pPr>
              <w:jc w:val="center"/>
              <w:rPr>
                <w:rFonts w:ascii="LitNusx" w:hAnsi="LitNusx"/>
                <w:b/>
                <w:sz w:val="20"/>
                <w:szCs w:val="20"/>
              </w:rPr>
            </w:pPr>
            <w:r w:rsidRPr="00014575">
              <w:rPr>
                <w:rFonts w:ascii="LitNusx" w:hAnsi="LitNusx"/>
                <w:b/>
                <w:sz w:val="20"/>
                <w:szCs w:val="20"/>
              </w:rPr>
              <w:t>#</w:t>
            </w:r>
          </w:p>
        </w:tc>
        <w:tc>
          <w:tcPr>
            <w:tcW w:w="2736" w:type="dxa"/>
            <w:shd w:val="clear" w:color="auto" w:fill="E6E6E6"/>
            <w:vAlign w:val="center"/>
          </w:tcPr>
          <w:p w:rsidR="00655B3E" w:rsidRPr="00B75D4B" w:rsidRDefault="00655B3E" w:rsidP="000F7CB6">
            <w:pPr>
              <w:jc w:val="center"/>
              <w:rPr>
                <w:rFonts w:ascii="LitNusx" w:hAnsi="LitNusx"/>
                <w:sz w:val="20"/>
                <w:szCs w:val="20"/>
              </w:rPr>
            </w:pP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saswavleblis</w:t>
            </w:r>
            <w:proofErr w:type="spellEnd"/>
            <w:r w:rsidRPr="00B75D4B">
              <w:rPr>
                <w:rFonts w:ascii="LitNusx" w:hAnsi="LitNusx"/>
                <w:sz w:val="20"/>
                <w:szCs w:val="20"/>
              </w:rPr>
              <w:t xml:space="preserve"> </w:t>
            </w: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dasaxeleba</w:t>
            </w:r>
            <w:proofErr w:type="spellEnd"/>
          </w:p>
        </w:tc>
        <w:tc>
          <w:tcPr>
            <w:tcW w:w="2106" w:type="dxa"/>
            <w:shd w:val="clear" w:color="auto" w:fill="E6E6E6"/>
            <w:vAlign w:val="center"/>
          </w:tcPr>
          <w:p w:rsidR="00655B3E" w:rsidRPr="00B75D4B" w:rsidRDefault="00655B3E" w:rsidP="000F7CB6">
            <w:pPr>
              <w:jc w:val="center"/>
              <w:rPr>
                <w:rFonts w:ascii="LitNusx" w:hAnsi="LitNusx"/>
                <w:sz w:val="20"/>
                <w:szCs w:val="20"/>
              </w:rPr>
            </w:pP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swavlebis</w:t>
            </w:r>
            <w:proofErr w:type="spellEnd"/>
            <w:r w:rsidRPr="00B75D4B">
              <w:rPr>
                <w:rFonts w:ascii="LitNusx" w:hAnsi="LitNusx"/>
                <w:sz w:val="20"/>
                <w:szCs w:val="20"/>
              </w:rPr>
              <w:t xml:space="preserve"> </w:t>
            </w:r>
            <w:proofErr w:type="spellStart"/>
            <w:r w:rsidRPr="00B75D4B">
              <w:rPr>
                <w:rFonts w:ascii="LitNusx" w:hAnsi="LitNusx"/>
                <w:sz w:val="20"/>
                <w:szCs w:val="20"/>
              </w:rPr>
              <w:t>wlebi</w:t>
            </w:r>
            <w:proofErr w:type="spellEnd"/>
          </w:p>
        </w:tc>
        <w:tc>
          <w:tcPr>
            <w:tcW w:w="2178" w:type="dxa"/>
            <w:shd w:val="clear" w:color="auto" w:fill="E6E6E6"/>
            <w:vAlign w:val="center"/>
          </w:tcPr>
          <w:p w:rsidR="00655B3E" w:rsidRPr="00B75D4B" w:rsidRDefault="00655B3E" w:rsidP="000F7CB6">
            <w:pPr>
              <w:jc w:val="center"/>
              <w:rPr>
                <w:rFonts w:ascii="LitNusx" w:hAnsi="LitNusx"/>
                <w:bCs/>
                <w:color w:val="0000FF"/>
                <w:sz w:val="20"/>
                <w:szCs w:val="20"/>
              </w:rPr>
            </w:pPr>
            <w:proofErr w:type="spellStart"/>
            <w:r w:rsidRPr="00B75D4B">
              <w:rPr>
                <w:rFonts w:ascii="LitNusx" w:hAnsi="LitNusx"/>
                <w:bCs/>
                <w:sz w:val="20"/>
                <w:szCs w:val="20"/>
              </w:rPr>
              <w:t>fakulteti</w:t>
            </w:r>
            <w:proofErr w:type="spellEnd"/>
          </w:p>
        </w:tc>
        <w:tc>
          <w:tcPr>
            <w:tcW w:w="2160" w:type="dxa"/>
            <w:shd w:val="clear" w:color="auto" w:fill="E6E6E6"/>
            <w:vAlign w:val="center"/>
          </w:tcPr>
          <w:p w:rsidR="00655B3E" w:rsidRPr="00B75D4B" w:rsidRDefault="00655B3E" w:rsidP="000F7CB6">
            <w:pPr>
              <w:jc w:val="center"/>
              <w:rPr>
                <w:rFonts w:ascii="LitNusx" w:hAnsi="LitNusx"/>
                <w:bCs/>
                <w:sz w:val="20"/>
                <w:szCs w:val="20"/>
              </w:rPr>
            </w:pPr>
            <w:proofErr w:type="spellStart"/>
            <w:r>
              <w:rPr>
                <w:rFonts w:ascii="LitNusx" w:hAnsi="LitNusx"/>
                <w:bCs/>
                <w:sz w:val="20"/>
                <w:szCs w:val="20"/>
              </w:rPr>
              <w:t>xarisxi</w:t>
            </w:r>
            <w:proofErr w:type="spellEnd"/>
          </w:p>
        </w:tc>
      </w:tr>
      <w:tr w:rsidR="00655B3E" w:rsidRPr="00014575" w:rsidTr="000F7CB6">
        <w:trPr>
          <w:trHeight w:val="681"/>
        </w:trPr>
        <w:tc>
          <w:tcPr>
            <w:tcW w:w="720" w:type="dxa"/>
          </w:tcPr>
          <w:p w:rsidR="00655B3E" w:rsidRPr="00FE5C1D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1</w:t>
            </w:r>
          </w:p>
        </w:tc>
        <w:tc>
          <w:tcPr>
            <w:tcW w:w="2736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2106" w:type="dxa"/>
          </w:tcPr>
          <w:p w:rsidR="00655B3E" w:rsidRPr="00FE5C1D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  1991</w:t>
            </w:r>
            <w:r w:rsidRPr="00846793">
              <w:rPr>
                <w:rFonts w:ascii="Sylfaen" w:hAnsi="Sylfaen" w:cs="AcadNusx"/>
                <w:bCs/>
                <w:sz w:val="20"/>
                <w:szCs w:val="20"/>
                <w:lang w:val="it-IT"/>
              </w:rPr>
              <w:t>-</w:t>
            </w:r>
            <w:r w:rsidRPr="00FF3FB7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1996</w:t>
            </w:r>
          </w:p>
        </w:tc>
        <w:tc>
          <w:tcPr>
            <w:tcW w:w="2178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  <w:r w:rsidRPr="00FF3FB7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ეკონომიკ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</w:t>
            </w:r>
          </w:p>
        </w:tc>
        <w:tc>
          <w:tcPr>
            <w:tcW w:w="2160" w:type="dxa"/>
          </w:tcPr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კვალიფიკაცია - ეკონომისტი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 xml:space="preserve">დიპლომი წარჩინებით  </w:t>
            </w:r>
          </w:p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</w:rPr>
              <w:t xml:space="preserve">AH </w:t>
            </w: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№00057</w:t>
            </w:r>
          </w:p>
        </w:tc>
      </w:tr>
      <w:tr w:rsidR="00655B3E" w:rsidRPr="00014575" w:rsidTr="000F7CB6">
        <w:trPr>
          <w:trHeight w:val="657"/>
        </w:trPr>
        <w:tc>
          <w:tcPr>
            <w:tcW w:w="720" w:type="dxa"/>
          </w:tcPr>
          <w:p w:rsidR="00655B3E" w:rsidRPr="00FE5C1D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</w:t>
            </w:r>
          </w:p>
        </w:tc>
        <w:tc>
          <w:tcPr>
            <w:tcW w:w="2736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ივანე ჯავახიშვილის სახელობის თბილისის სახელმწიფო უნივერსიტეტი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 ასპირანტურა</w:t>
            </w:r>
          </w:p>
        </w:tc>
        <w:tc>
          <w:tcPr>
            <w:tcW w:w="2106" w:type="dxa"/>
          </w:tcPr>
          <w:p w:rsidR="00655B3E" w:rsidRPr="00FE5C1D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16"/>
                <w:lang w:val="ka-GE"/>
              </w:rPr>
            </w:pPr>
            <w:r w:rsidRPr="00FE5C1D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1996-1999</w:t>
            </w:r>
          </w:p>
        </w:tc>
        <w:tc>
          <w:tcPr>
            <w:tcW w:w="2178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ეკონომიკა</w:t>
            </w:r>
          </w:p>
        </w:tc>
        <w:tc>
          <w:tcPr>
            <w:tcW w:w="2160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სამეცნიერო ხარისხის გარეშე</w:t>
            </w:r>
          </w:p>
        </w:tc>
      </w:tr>
      <w:tr w:rsidR="00655B3E" w:rsidRPr="00014575" w:rsidTr="000F7CB6">
        <w:trPr>
          <w:trHeight w:val="675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3</w:t>
            </w:r>
          </w:p>
        </w:tc>
        <w:tc>
          <w:tcPr>
            <w:tcW w:w="2736" w:type="dxa"/>
          </w:tcPr>
          <w:p w:rsidR="00655B3E" w:rsidRPr="00B50379" w:rsidRDefault="00655B3E" w:rsidP="000F7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t>თავისუფალი უნივერსიტეტი</w:t>
            </w:r>
          </w:p>
        </w:tc>
        <w:tc>
          <w:tcPr>
            <w:tcW w:w="2106" w:type="dxa"/>
          </w:tcPr>
          <w:p w:rsidR="00655B3E" w:rsidRPr="00B50379" w:rsidRDefault="00655B3E" w:rsidP="000F7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t>2012-2013</w:t>
            </w:r>
          </w:p>
        </w:tc>
        <w:tc>
          <w:tcPr>
            <w:tcW w:w="2178" w:type="dxa"/>
          </w:tcPr>
          <w:p w:rsidR="00655B3E" w:rsidRPr="00B50379" w:rsidRDefault="00655B3E" w:rsidP="000F7CB6">
            <w:pPr>
              <w:rPr>
                <w:rFonts w:ascii="LitNusx" w:hAnsi="LitNusx"/>
                <w:sz w:val="20"/>
                <w:szCs w:val="20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t xml:space="preserve">ბიზნეს სკოლა </w:t>
            </w:r>
            <w:r w:rsidRPr="00B50379">
              <w:rPr>
                <w:sz w:val="20"/>
                <w:szCs w:val="20"/>
              </w:rPr>
              <w:t>ESM</w:t>
            </w:r>
          </w:p>
        </w:tc>
        <w:tc>
          <w:tcPr>
            <w:tcW w:w="2160" w:type="dxa"/>
          </w:tcPr>
          <w:p w:rsidR="00655B3E" w:rsidRPr="00B50379" w:rsidRDefault="00655B3E" w:rsidP="000F7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t>სერტიფიცირებული ფინანსური მენეჯერი</w:t>
            </w:r>
            <w:r w:rsidRPr="00B50379">
              <w:rPr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B50379">
              <w:rPr>
                <w:sz w:val="20"/>
                <w:szCs w:val="20"/>
              </w:rPr>
              <w:t>CFM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55B3E" w:rsidRPr="00014575" w:rsidTr="000F7CB6">
        <w:trPr>
          <w:trHeight w:val="650"/>
        </w:trPr>
        <w:tc>
          <w:tcPr>
            <w:tcW w:w="720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736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06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78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160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</w:tr>
    </w:tbl>
    <w:p w:rsidR="00655B3E" w:rsidRPr="00014575" w:rsidRDefault="00655B3E" w:rsidP="00655B3E">
      <w:pPr>
        <w:spacing w:before="120" w:after="120"/>
        <w:rPr>
          <w:rFonts w:ascii="LitNusx" w:hAnsi="LitNusx"/>
          <w:sz w:val="22"/>
          <w:szCs w:val="22"/>
          <w:lang w:val="af-ZA"/>
        </w:rPr>
      </w:pPr>
      <w:r w:rsidRPr="002E669A">
        <w:rPr>
          <w:rFonts w:ascii="LitNusx" w:hAnsi="LitNusx"/>
          <w:sz w:val="22"/>
          <w:szCs w:val="22"/>
          <w:lang w:val="af-ZA"/>
        </w:rPr>
      </w:r>
      <w:r>
        <w:rPr>
          <w:rFonts w:ascii="LitNusx" w:hAnsi="LitNusx"/>
          <w:sz w:val="22"/>
          <w:szCs w:val="22"/>
          <w:lang w:val="af-ZA"/>
        </w:rPr>
        <w:pict>
          <v:shape id="_x0000_s1037" type="#_x0000_t202" style="width:495pt;height:22.95pt;mso-position-horizontal-relative:char;mso-position-vertical-relative:line" fillcolor="#002060" strokecolor="#17365d" strokeweight="1.25pt">
            <v:imagedata embosscolor="shadow add(51)"/>
            <v:shadow on="t" type="emboss" color="lineOrFill darken(153)" color2="shadow add(102)" offset="1pt,1pt"/>
            <v:textbox style="mso-next-textbox:#_x0000_s1037">
              <w:txbxContent>
                <w:p w:rsidR="00655B3E" w:rsidRPr="00381B3D" w:rsidRDefault="00655B3E" w:rsidP="00655B3E">
                  <w:pPr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</w:pPr>
                  <w:r w:rsidRPr="00381B3D">
                    <w:rPr>
                      <w:rFonts w:ascii="LitMtavrPS" w:hAnsi="LitMtavrPS"/>
                      <w:b/>
                      <w:color w:val="FFFFFF"/>
                      <w:sz w:val="20"/>
                      <w:szCs w:val="20"/>
                      <w:lang w:val="af-ZA"/>
                    </w:rPr>
                    <w:t>kvalifikaciis asamaRlebeli kursebi (treiningebi)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92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20"/>
        <w:gridCol w:w="2378"/>
        <w:gridCol w:w="2302"/>
        <w:gridCol w:w="2434"/>
        <w:gridCol w:w="2089"/>
      </w:tblGrid>
      <w:tr w:rsidR="00655B3E" w:rsidRPr="00014575" w:rsidTr="000F7CB6">
        <w:trPr>
          <w:trHeight w:val="545"/>
        </w:trPr>
        <w:tc>
          <w:tcPr>
            <w:tcW w:w="720" w:type="dxa"/>
            <w:shd w:val="clear" w:color="auto" w:fill="E6E6E6"/>
            <w:vAlign w:val="center"/>
          </w:tcPr>
          <w:p w:rsidR="00655B3E" w:rsidRPr="00014575" w:rsidRDefault="00655B3E" w:rsidP="000F7CB6">
            <w:pPr>
              <w:jc w:val="center"/>
              <w:rPr>
                <w:rFonts w:ascii="LitNusx" w:hAnsi="LitNusx"/>
                <w:b/>
                <w:sz w:val="20"/>
                <w:szCs w:val="20"/>
              </w:rPr>
            </w:pPr>
            <w:r w:rsidRPr="00014575">
              <w:rPr>
                <w:rFonts w:ascii="LitNusx" w:hAnsi="LitNusx"/>
                <w:b/>
                <w:sz w:val="20"/>
                <w:szCs w:val="20"/>
              </w:rPr>
              <w:t>#</w:t>
            </w:r>
          </w:p>
        </w:tc>
        <w:tc>
          <w:tcPr>
            <w:tcW w:w="2378" w:type="dxa"/>
            <w:shd w:val="clear" w:color="auto" w:fill="E6E6E6"/>
            <w:vAlign w:val="center"/>
          </w:tcPr>
          <w:p w:rsidR="00655B3E" w:rsidRPr="00C25272" w:rsidRDefault="00655B3E" w:rsidP="000F7CB6">
            <w:pPr>
              <w:jc w:val="center"/>
              <w:rPr>
                <w:rFonts w:ascii="LitNusx" w:hAnsi="LitNusx"/>
                <w:sz w:val="20"/>
                <w:szCs w:val="20"/>
              </w:rPr>
            </w:pPr>
            <w:proofErr w:type="spellStart"/>
            <w:r w:rsidRPr="00C25272">
              <w:rPr>
                <w:rFonts w:ascii="LitNusx" w:hAnsi="LitNusx"/>
                <w:sz w:val="20"/>
                <w:szCs w:val="20"/>
              </w:rPr>
              <w:t>treiningis</w:t>
            </w:r>
            <w:proofErr w:type="spellEnd"/>
            <w:r w:rsidRPr="00C25272">
              <w:rPr>
                <w:rFonts w:ascii="LitNusx" w:hAnsi="LitNusx"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sz w:val="20"/>
                <w:szCs w:val="20"/>
              </w:rPr>
              <w:t>dasaxeleba</w:t>
            </w:r>
            <w:proofErr w:type="spellEnd"/>
          </w:p>
        </w:tc>
        <w:tc>
          <w:tcPr>
            <w:tcW w:w="2302" w:type="dxa"/>
            <w:shd w:val="clear" w:color="auto" w:fill="E6E6E6"/>
            <w:vAlign w:val="center"/>
          </w:tcPr>
          <w:p w:rsidR="00655B3E" w:rsidRPr="00C25272" w:rsidRDefault="00655B3E" w:rsidP="000F7CB6">
            <w:pPr>
              <w:jc w:val="center"/>
              <w:rPr>
                <w:rFonts w:ascii="LitNusx" w:hAnsi="LitNusx"/>
                <w:sz w:val="20"/>
                <w:szCs w:val="20"/>
              </w:rPr>
            </w:pPr>
            <w:proofErr w:type="spellStart"/>
            <w:r w:rsidRPr="00C25272">
              <w:rPr>
                <w:rFonts w:ascii="LitNusx" w:hAnsi="LitNusx"/>
                <w:sz w:val="20"/>
                <w:szCs w:val="20"/>
              </w:rPr>
              <w:t>treiningis</w:t>
            </w:r>
            <w:proofErr w:type="spellEnd"/>
            <w:r w:rsidRPr="00C25272">
              <w:rPr>
                <w:rFonts w:ascii="LitNusx" w:hAnsi="LitNusx"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sz w:val="20"/>
                <w:szCs w:val="20"/>
              </w:rPr>
              <w:t>Catarebis</w:t>
            </w:r>
            <w:proofErr w:type="spellEnd"/>
            <w:r w:rsidRPr="00C25272">
              <w:rPr>
                <w:rFonts w:ascii="LitNusx" w:hAnsi="LitNusx"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sz w:val="20"/>
                <w:szCs w:val="20"/>
              </w:rPr>
              <w:t>adgili</w:t>
            </w:r>
            <w:proofErr w:type="spellEnd"/>
            <w:r w:rsidRPr="00C25272">
              <w:rPr>
                <w:rFonts w:ascii="LitNusx" w:hAnsi="LitNusx"/>
                <w:sz w:val="20"/>
                <w:szCs w:val="20"/>
              </w:rPr>
              <w:t xml:space="preserve">, </w:t>
            </w:r>
            <w:proofErr w:type="spellStart"/>
            <w:r w:rsidRPr="00C25272">
              <w:rPr>
                <w:rFonts w:ascii="LitNusx" w:hAnsi="LitNusx"/>
                <w:sz w:val="20"/>
                <w:szCs w:val="20"/>
              </w:rPr>
              <w:t>periodi</w:t>
            </w:r>
            <w:proofErr w:type="spellEnd"/>
          </w:p>
        </w:tc>
        <w:tc>
          <w:tcPr>
            <w:tcW w:w="2434" w:type="dxa"/>
            <w:shd w:val="clear" w:color="auto" w:fill="E6E6E6"/>
            <w:vAlign w:val="center"/>
          </w:tcPr>
          <w:p w:rsidR="00655B3E" w:rsidRPr="00C25272" w:rsidRDefault="00655B3E" w:rsidP="000F7CB6">
            <w:pPr>
              <w:jc w:val="center"/>
              <w:rPr>
                <w:rFonts w:ascii="LitNusx" w:hAnsi="LitNusx"/>
                <w:bCs/>
                <w:color w:val="0000FF"/>
                <w:sz w:val="20"/>
                <w:szCs w:val="20"/>
              </w:rPr>
            </w:pP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organizaciis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dasaxeleba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(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vis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mier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iyo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organizebuli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>)</w:t>
            </w:r>
          </w:p>
        </w:tc>
        <w:tc>
          <w:tcPr>
            <w:tcW w:w="2089" w:type="dxa"/>
            <w:shd w:val="clear" w:color="auto" w:fill="E6E6E6"/>
            <w:vAlign w:val="center"/>
          </w:tcPr>
          <w:p w:rsidR="00655B3E" w:rsidRPr="00C25272" w:rsidRDefault="00655B3E" w:rsidP="000F7CB6">
            <w:pPr>
              <w:jc w:val="center"/>
              <w:rPr>
                <w:rFonts w:ascii="LitNusx" w:hAnsi="LitNusx"/>
                <w:bCs/>
                <w:sz w:val="20"/>
                <w:szCs w:val="20"/>
              </w:rPr>
            </w:pP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ra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saxis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codna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da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gamocdileba</w:t>
            </w:r>
            <w:proofErr w:type="spellEnd"/>
            <w:r w:rsidRPr="00C25272">
              <w:rPr>
                <w:rFonts w:ascii="LitNusx" w:hAnsi="LitNusx"/>
                <w:bCs/>
                <w:sz w:val="20"/>
                <w:szCs w:val="20"/>
              </w:rPr>
              <w:t xml:space="preserve"> </w:t>
            </w:r>
            <w:proofErr w:type="spellStart"/>
            <w:r w:rsidRPr="00C25272">
              <w:rPr>
                <w:rFonts w:ascii="LitNusx" w:hAnsi="LitNusx"/>
                <w:bCs/>
                <w:sz w:val="20"/>
                <w:szCs w:val="20"/>
              </w:rPr>
              <w:t>miiReT</w:t>
            </w:r>
            <w:proofErr w:type="spellEnd"/>
          </w:p>
        </w:tc>
      </w:tr>
      <w:tr w:rsidR="00655B3E" w:rsidRPr="00AC7E86" w:rsidTr="000F7CB6">
        <w:trPr>
          <w:trHeight w:val="447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lastRenderedPageBreak/>
              <w:t>1</w:t>
            </w:r>
          </w:p>
        </w:tc>
        <w:tc>
          <w:tcPr>
            <w:tcW w:w="2378" w:type="dxa"/>
          </w:tcPr>
          <w:p w:rsidR="00655B3E" w:rsidRPr="00AC7E86" w:rsidRDefault="00655B3E" w:rsidP="000F7CB6">
            <w:pPr>
              <w:ind w:righ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მენეჯმენტი და ორგანიზაციული განვითარება</w:t>
            </w:r>
            <w:r w:rsidRPr="00AC7E86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AC7E86">
              <w:rPr>
                <w:rFonts w:ascii="Sylfaen" w:hAnsi="Sylfaen"/>
                <w:sz w:val="20"/>
                <w:szCs w:val="20"/>
                <w:lang w:val="ka-GE"/>
              </w:rPr>
              <w:t>Management and Organisation Development</w:t>
            </w:r>
          </w:p>
        </w:tc>
        <w:tc>
          <w:tcPr>
            <w:tcW w:w="2302" w:type="dxa"/>
            <w:vAlign w:val="center"/>
          </w:tcPr>
          <w:p w:rsidR="00655B3E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ლონდონი, დიდი ბრიტანეთი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ოქტომბერი 2010</w:t>
            </w:r>
          </w:p>
        </w:tc>
        <w:tc>
          <w:tcPr>
            <w:tcW w:w="2434" w:type="dxa"/>
            <w:vAlign w:val="center"/>
          </w:tcPr>
          <w:p w:rsidR="00655B3E" w:rsidRPr="00FF3FB7" w:rsidRDefault="00655B3E" w:rsidP="000F7CB6">
            <w:pPr>
              <w:ind w:right="-124"/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 xml:space="preserve">ლონდონის მენეჯმენტის ცენტრი, 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AcadNusx" w:hAnsi="AcadNusx" w:cs="AcadNusx"/>
                <w:bCs/>
                <w:sz w:val="20"/>
                <w:szCs w:val="20"/>
                <w:lang w:val="it-IT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London Management Centre</w:t>
            </w:r>
          </w:p>
        </w:tc>
        <w:tc>
          <w:tcPr>
            <w:tcW w:w="2089" w:type="dxa"/>
          </w:tcPr>
          <w:p w:rsidR="00655B3E" w:rsidRPr="00EA646E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ორგანიზაციის მართვა</w:t>
            </w:r>
            <w:r>
              <w:rPr>
                <w:rFonts w:ascii="Sylfaen" w:hAnsi="Sylfaen"/>
                <w:sz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</w:rPr>
              <w:t>და</w:t>
            </w:r>
            <w:proofErr w:type="spellEnd"/>
            <w:r>
              <w:rPr>
                <w:rFonts w:ascii="Sylfaen" w:hAnsi="Sylfaen"/>
                <w:sz w:val="16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</w:rPr>
              <w:t>განვითარება</w:t>
            </w:r>
            <w:proofErr w:type="spellEnd"/>
            <w:r>
              <w:rPr>
                <w:rFonts w:ascii="Sylfaen" w:hAnsi="Sylfaen"/>
                <w:sz w:val="16"/>
              </w:rPr>
              <w:t xml:space="preserve">, </w:t>
            </w:r>
            <w:proofErr w:type="spellStart"/>
            <w:r>
              <w:rPr>
                <w:rFonts w:ascii="Sylfaen" w:hAnsi="Sylfaen"/>
                <w:sz w:val="16"/>
              </w:rPr>
              <w:t>ლიდერობა</w:t>
            </w:r>
            <w:proofErr w:type="spellEnd"/>
            <w:r>
              <w:rPr>
                <w:rFonts w:ascii="Sylfaen" w:hAnsi="Sylfaen"/>
                <w:sz w:val="16"/>
                <w:lang w:val="ka-GE"/>
              </w:rPr>
              <w:t>, ადამიანური რესურსების მართვა, ინდივიდულების ქცევის მართვა, კრეატიული აზროვნება და ხარისხი, ცვლილებების მენეჯმენტი, გუნდის მართვა და გავნითარება, ბიუჯეტირება და ხარჯების კონტროლი, პრობლემების გადაწყვეტა და გადაწყვეტილებების მიღება, მოლაპარაკებების წარმოების უნარი.</w:t>
            </w:r>
          </w:p>
        </w:tc>
      </w:tr>
      <w:tr w:rsidR="00655B3E" w:rsidRPr="00AC7E86" w:rsidTr="000F7CB6">
        <w:trPr>
          <w:trHeight w:val="511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2</w:t>
            </w:r>
          </w:p>
        </w:tc>
        <w:tc>
          <w:tcPr>
            <w:tcW w:w="2378" w:type="dxa"/>
          </w:tcPr>
          <w:p w:rsidR="00655B3E" w:rsidRPr="00FF3FB7" w:rsidRDefault="00655B3E" w:rsidP="000F7CB6">
            <w:pPr>
              <w:ind w:righ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დროის მართვა</w:t>
            </w:r>
          </w:p>
        </w:tc>
        <w:tc>
          <w:tcPr>
            <w:tcW w:w="2302" w:type="dxa"/>
            <w:vAlign w:val="center"/>
          </w:tcPr>
          <w:p w:rsidR="00655B3E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თბილისი, საქართველო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მაისი 2011</w:t>
            </w:r>
          </w:p>
        </w:tc>
        <w:tc>
          <w:tcPr>
            <w:tcW w:w="2434" w:type="dxa"/>
            <w:vAlign w:val="center"/>
          </w:tcPr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AcadNusx" w:hAnsi="AcadNusx" w:cs="AcadNusx"/>
                <w:bCs/>
                <w:sz w:val="20"/>
                <w:szCs w:val="20"/>
                <w:lang w:val="it-IT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მართვის აკადემია</w:t>
            </w:r>
          </w:p>
        </w:tc>
        <w:tc>
          <w:tcPr>
            <w:tcW w:w="2089" w:type="dxa"/>
          </w:tcPr>
          <w:p w:rsidR="00655B3E" w:rsidRPr="00EA646E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დროის განაწილება და მართვა როგორც სამსახურებრივი და პირადი საქმეების გასამიჯნად და მოსაგვარებლად. საკუთარი ადამიანური რესურსის მაქსიმალური გამოყენება და  სწორად გადანაწილება დროში საქმიანობების მიხედვით</w:t>
            </w:r>
          </w:p>
        </w:tc>
      </w:tr>
      <w:tr w:rsidR="00655B3E" w:rsidRPr="00AC7E86" w:rsidTr="000F7CB6">
        <w:trPr>
          <w:trHeight w:val="535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3</w:t>
            </w:r>
          </w:p>
        </w:tc>
        <w:tc>
          <w:tcPr>
            <w:tcW w:w="2378" w:type="dxa"/>
          </w:tcPr>
          <w:p w:rsidR="00655B3E" w:rsidRPr="00FF3FB7" w:rsidRDefault="00655B3E" w:rsidP="000F7CB6">
            <w:pPr>
              <w:ind w:right="26"/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მსოფლიო ბანკის რეგიონალურ კურატორთა ტრენინგი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The World Bank Regional Fiduciary Training</w:t>
            </w:r>
          </w:p>
        </w:tc>
        <w:tc>
          <w:tcPr>
            <w:tcW w:w="2302" w:type="dxa"/>
            <w:vAlign w:val="center"/>
          </w:tcPr>
          <w:p w:rsidR="00655B3E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თბილისი, საქართველო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მაისი 2011</w:t>
            </w:r>
          </w:p>
        </w:tc>
        <w:tc>
          <w:tcPr>
            <w:tcW w:w="2434" w:type="dxa"/>
            <w:vAlign w:val="center"/>
          </w:tcPr>
          <w:p w:rsidR="00655B3E" w:rsidRPr="00FF3FB7" w:rsidRDefault="00655B3E" w:rsidP="000F7CB6">
            <w:pPr>
              <w:ind w:right="-279"/>
              <w:rPr>
                <w:rFonts w:ascii="Sylfaen" w:hAnsi="Sylfaen"/>
                <w:sz w:val="20"/>
                <w:szCs w:val="20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მსოფლიო ბანკი,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The World Bank</w:t>
            </w:r>
            <w:r w:rsidRPr="00FF3FB7">
              <w:rPr>
                <w:rFonts w:ascii="Sylfaen" w:hAnsi="Sylfaen"/>
                <w:sz w:val="20"/>
                <w:szCs w:val="20"/>
              </w:rPr>
              <w:t xml:space="preserve"> Group</w:t>
            </w:r>
          </w:p>
        </w:tc>
        <w:tc>
          <w:tcPr>
            <w:tcW w:w="2089" w:type="dxa"/>
          </w:tcPr>
          <w:p w:rsidR="00655B3E" w:rsidRPr="00EA646E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გამოცდილების გაზიარება კავკასიის რეგიონში მიმდინარე მსოფლიო ბანკის მიერ დაფინანსებული პროექტების ადმინისტრირების მიმართულებით. ანგარიშგების დოკუმენტების მომზადება</w:t>
            </w:r>
          </w:p>
        </w:tc>
      </w:tr>
      <w:tr w:rsidR="00655B3E" w:rsidRPr="00EA646E" w:rsidTr="000F7CB6">
        <w:trPr>
          <w:trHeight w:val="535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4</w:t>
            </w:r>
          </w:p>
        </w:tc>
        <w:tc>
          <w:tcPr>
            <w:tcW w:w="2378" w:type="dxa"/>
          </w:tcPr>
          <w:p w:rsidR="00655B3E" w:rsidRPr="00FF3FB7" w:rsidRDefault="00655B3E" w:rsidP="000F7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 xml:space="preserve">საერთაშორისო კონფერენცია </w:t>
            </w:r>
            <w:r w:rsidRPr="00FF3FB7">
              <w:rPr>
                <w:rFonts w:ascii="Sylfaen" w:hAnsi="Sylfaen" w:cs="Sylfaen"/>
                <w:sz w:val="20"/>
                <w:szCs w:val="20"/>
                <w:lang w:val="ka-GE"/>
              </w:rPr>
              <w:t>მთელი</w:t>
            </w:r>
            <w:r w:rsidRPr="00FF3FB7">
              <w:rPr>
                <w:sz w:val="20"/>
                <w:szCs w:val="20"/>
                <w:lang w:val="ka-GE"/>
              </w:rPr>
              <w:t xml:space="preserve"> </w:t>
            </w:r>
            <w:r w:rsidRPr="00FF3FB7">
              <w:rPr>
                <w:rFonts w:ascii="Sylfaen" w:hAnsi="Sylfaen" w:cs="Sylfaen"/>
                <w:sz w:val="20"/>
                <w:szCs w:val="20"/>
                <w:lang w:val="ka-GE"/>
              </w:rPr>
              <w:t>ცხოვრების</w:t>
            </w:r>
            <w:r w:rsidRPr="00FF3FB7">
              <w:rPr>
                <w:sz w:val="20"/>
                <w:szCs w:val="20"/>
                <w:lang w:val="ka-GE"/>
              </w:rPr>
              <w:t xml:space="preserve"> </w:t>
            </w:r>
            <w:r w:rsidRPr="00FF3FB7">
              <w:rPr>
                <w:rFonts w:ascii="Sylfaen" w:hAnsi="Sylfaen" w:cs="Sylfaen"/>
                <w:sz w:val="20"/>
                <w:szCs w:val="20"/>
                <w:lang w:val="ka-GE"/>
              </w:rPr>
              <w:t>მანძილზე</w:t>
            </w:r>
            <w:r w:rsidRPr="00FF3FB7">
              <w:rPr>
                <w:sz w:val="20"/>
                <w:szCs w:val="20"/>
                <w:lang w:val="ka-GE"/>
              </w:rPr>
              <w:t xml:space="preserve"> </w:t>
            </w:r>
            <w:r w:rsidRPr="00FF3FB7">
              <w:rPr>
                <w:rFonts w:ascii="Sylfaen" w:hAnsi="Sylfaen" w:cs="Sylfaen"/>
                <w:sz w:val="20"/>
                <w:szCs w:val="20"/>
                <w:lang w:val="ka-GE"/>
              </w:rPr>
              <w:t>განათლების</w:t>
            </w:r>
            <w:r w:rsidRPr="00FF3FB7">
              <w:rPr>
                <w:sz w:val="20"/>
                <w:szCs w:val="20"/>
                <w:lang w:val="ka-GE"/>
              </w:rPr>
              <w:t xml:space="preserve"> </w:t>
            </w:r>
            <w:r w:rsidRPr="00FF3FB7">
              <w:rPr>
                <w:rFonts w:ascii="Sylfaen" w:hAnsi="Sylfaen" w:cs="Sylfaen"/>
                <w:sz w:val="20"/>
                <w:szCs w:val="20"/>
                <w:lang w:val="ka-GE"/>
              </w:rPr>
              <w:t>მიღების</w:t>
            </w:r>
            <w:r w:rsidRPr="00FF3FB7">
              <w:rPr>
                <w:sz w:val="20"/>
                <w:szCs w:val="20"/>
                <w:lang w:val="ka-GE"/>
              </w:rPr>
              <w:t xml:space="preserve"> </w:t>
            </w:r>
            <w:r w:rsidRPr="00FF3FB7">
              <w:rPr>
                <w:rFonts w:ascii="Sylfaen" w:hAnsi="Sylfaen" w:cs="Sylfaen"/>
                <w:sz w:val="20"/>
                <w:szCs w:val="20"/>
                <w:lang w:val="ka-GE"/>
              </w:rPr>
              <w:t>შესახებ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International Lifelong Learning Conference</w:t>
            </w:r>
          </w:p>
        </w:tc>
        <w:tc>
          <w:tcPr>
            <w:tcW w:w="2302" w:type="dxa"/>
            <w:vAlign w:val="center"/>
          </w:tcPr>
          <w:p w:rsidR="00655B3E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კუალა ლუმპური, მალაიზია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AcadNusx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 w:cs="AcadNusx"/>
                <w:bCs/>
                <w:sz w:val="20"/>
                <w:szCs w:val="20"/>
                <w:lang w:val="ka-GE"/>
              </w:rPr>
              <w:t>ნოემბერი 2011</w:t>
            </w:r>
          </w:p>
        </w:tc>
        <w:tc>
          <w:tcPr>
            <w:tcW w:w="2434" w:type="dxa"/>
            <w:vAlign w:val="center"/>
          </w:tcPr>
          <w:p w:rsidR="00655B3E" w:rsidRPr="00FF3FB7" w:rsidRDefault="00655B3E" w:rsidP="000F7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მალაიზიის ღია უნივერსიტეტი, მალაიზიის უმაღლესი განათლების სამინისტრო</w:t>
            </w:r>
          </w:p>
          <w:p w:rsidR="00655B3E" w:rsidRPr="00FF3FB7" w:rsidRDefault="00655B3E" w:rsidP="000F7CB6">
            <w:pPr>
              <w:autoSpaceDE w:val="0"/>
              <w:autoSpaceDN w:val="0"/>
              <w:adjustRightInd w:val="0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Open University Malaysia, Ministry of Higher Education, Malaysia</w:t>
            </w:r>
          </w:p>
        </w:tc>
        <w:tc>
          <w:tcPr>
            <w:tcW w:w="2089" w:type="dxa"/>
          </w:tcPr>
          <w:p w:rsidR="00655B3E" w:rsidRPr="00EA646E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 xml:space="preserve">კონფერენციაზე წარდგენილ იქნა მალაიზიის განათლების განვითარების ათწლიანი სტრატეგია. გაიმართა სამუშაო შეხვედრები სხვადასხვა საფეხურებზე განათლების ჰარმონიზაციის, მათ შორის ზრდასრულთა განათლების საკითხებზე. </w:t>
            </w:r>
          </w:p>
        </w:tc>
      </w:tr>
      <w:tr w:rsidR="00655B3E" w:rsidRPr="00AC7E86" w:rsidTr="000F7CB6">
        <w:trPr>
          <w:trHeight w:val="447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5</w:t>
            </w:r>
          </w:p>
        </w:tc>
        <w:tc>
          <w:tcPr>
            <w:tcW w:w="2378" w:type="dxa"/>
          </w:tcPr>
          <w:p w:rsidR="00655B3E" w:rsidRPr="00B50379" w:rsidRDefault="00655B3E" w:rsidP="000F7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t>ბიზნეს ინგლისური ენის კურსი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FF3FB7">
              <w:rPr>
                <w:rFonts w:ascii="Sylfaen" w:hAnsi="Sylfaen" w:cs="Sylfaen"/>
                <w:b/>
                <w:sz w:val="20"/>
                <w:szCs w:val="20"/>
              </w:rPr>
              <w:t>B2-C1</w:t>
            </w:r>
          </w:p>
        </w:tc>
        <w:tc>
          <w:tcPr>
            <w:tcW w:w="2302" w:type="dxa"/>
          </w:tcPr>
          <w:p w:rsidR="00655B3E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თბილისი, საქართველო</w:t>
            </w:r>
          </w:p>
          <w:p w:rsidR="00655B3E" w:rsidRPr="00AC7E86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2011-</w:t>
            </w:r>
            <w:r>
              <w:rPr>
                <w:rFonts w:ascii="Sylfaen" w:hAnsi="Sylfaen"/>
                <w:sz w:val="20"/>
                <w:szCs w:val="20"/>
              </w:rPr>
              <w:t>2012</w:t>
            </w:r>
          </w:p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434" w:type="dxa"/>
          </w:tcPr>
          <w:p w:rsidR="00655B3E" w:rsidRPr="00B50379" w:rsidRDefault="00655B3E" w:rsidP="000F7CB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t>შპს „ინგლისური ენის ცენტრი“</w:t>
            </w:r>
          </w:p>
        </w:tc>
        <w:tc>
          <w:tcPr>
            <w:tcW w:w="2089" w:type="dxa"/>
          </w:tcPr>
          <w:p w:rsidR="00655B3E" w:rsidRPr="002E2B98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საქმიანი წერილების შედგენის, საქმიანი შეხვედრებისა და მოლაპარაკებების წარმოებისთვის ინგლისური ენის ცოდნის სრულყოფა</w:t>
            </w:r>
          </w:p>
        </w:tc>
      </w:tr>
      <w:tr w:rsidR="00655B3E" w:rsidRPr="00AC7E86" w:rsidTr="000F7CB6">
        <w:trPr>
          <w:trHeight w:val="511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6</w:t>
            </w:r>
          </w:p>
        </w:tc>
        <w:tc>
          <w:tcPr>
            <w:tcW w:w="2378" w:type="dxa"/>
          </w:tcPr>
          <w:p w:rsidR="00655B3E" w:rsidRPr="00B50379" w:rsidRDefault="00655B3E" w:rsidP="000F7CB6">
            <w:pPr>
              <w:rPr>
                <w:rFonts w:ascii="LitNusx" w:hAnsi="LitNusx"/>
                <w:sz w:val="20"/>
                <w:szCs w:val="20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t>ლიდერობა</w:t>
            </w:r>
          </w:p>
        </w:tc>
        <w:tc>
          <w:tcPr>
            <w:tcW w:w="2302" w:type="dxa"/>
          </w:tcPr>
          <w:p w:rsidR="00655B3E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  <w:r w:rsidRPr="00FF3FB7">
              <w:rPr>
                <w:rFonts w:ascii="Sylfaen" w:hAnsi="Sylfaen"/>
                <w:sz w:val="20"/>
                <w:szCs w:val="20"/>
                <w:lang w:val="ka-GE"/>
              </w:rPr>
              <w:t>თბილისი, საქართველო</w:t>
            </w:r>
          </w:p>
          <w:p w:rsidR="00655B3E" w:rsidRPr="00AC7E86" w:rsidRDefault="00655B3E" w:rsidP="000F7CB6">
            <w:pPr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lastRenderedPageBreak/>
              <w:t>ივლისი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 2012</w:t>
            </w:r>
          </w:p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434" w:type="dxa"/>
          </w:tcPr>
          <w:p w:rsidR="00655B3E" w:rsidRPr="00B50379" w:rsidRDefault="00655B3E" w:rsidP="000F7CB6">
            <w:pPr>
              <w:rPr>
                <w:rFonts w:ascii="LitNusx" w:hAnsi="LitNusx"/>
                <w:sz w:val="20"/>
                <w:szCs w:val="20"/>
              </w:rPr>
            </w:pPr>
            <w:r w:rsidRPr="00B50379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კონსულტაციებისა და ტრენინგების ცენტრი - </w:t>
            </w:r>
            <w:r w:rsidRPr="00B50379">
              <w:rPr>
                <w:rFonts w:ascii="Sylfaen" w:hAnsi="Sylfaen"/>
                <w:sz w:val="20"/>
                <w:szCs w:val="20"/>
              </w:rPr>
              <w:lastRenderedPageBreak/>
              <w:t>CTC</w:t>
            </w:r>
          </w:p>
        </w:tc>
        <w:tc>
          <w:tcPr>
            <w:tcW w:w="2089" w:type="dxa"/>
          </w:tcPr>
          <w:p w:rsidR="00655B3E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lastRenderedPageBreak/>
              <w:t xml:space="preserve">ლიდერული უნარ-ჩვევების განვითარება, </w:t>
            </w:r>
            <w:r>
              <w:rPr>
                <w:rFonts w:ascii="Sylfaen" w:hAnsi="Sylfaen"/>
                <w:sz w:val="16"/>
                <w:lang w:val="ka-GE"/>
              </w:rPr>
              <w:lastRenderedPageBreak/>
              <w:t xml:space="preserve">საჯარო სამსახურში სამუშაოს დელეგირებისა და შესრულების კონტროლის განხორციელების სრულყოფა. </w:t>
            </w:r>
          </w:p>
          <w:p w:rsidR="00655B3E" w:rsidRPr="002E2B98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 xml:space="preserve">ტრენინგი ტარდებოდა საჯარო მოხელეთათვის USAID-ის ფინანსური ხელშეწყობით და სწავლებსთან ერთად ითვალისწინებდა მონაწილეთა შორის გამოცდილების გაცვლას </w:t>
            </w:r>
          </w:p>
        </w:tc>
      </w:tr>
      <w:tr w:rsidR="00655B3E" w:rsidRPr="00014575" w:rsidTr="000F7CB6">
        <w:trPr>
          <w:trHeight w:val="535"/>
        </w:trPr>
        <w:tc>
          <w:tcPr>
            <w:tcW w:w="720" w:type="dxa"/>
          </w:tcPr>
          <w:p w:rsidR="00655B3E" w:rsidRPr="00AC7E86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lastRenderedPageBreak/>
              <w:t>7</w:t>
            </w:r>
          </w:p>
        </w:tc>
        <w:tc>
          <w:tcPr>
            <w:tcW w:w="2378" w:type="dxa"/>
          </w:tcPr>
          <w:p w:rsidR="00655B3E" w:rsidRPr="00B50379" w:rsidRDefault="00655B3E" w:rsidP="000F7CB6">
            <w:pPr>
              <w:rPr>
                <w:rFonts w:ascii="LitNusx" w:hAnsi="LitNusx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434" w:type="dxa"/>
          </w:tcPr>
          <w:p w:rsidR="00655B3E" w:rsidRPr="00B50379" w:rsidRDefault="00655B3E" w:rsidP="000F7CB6">
            <w:pPr>
              <w:rPr>
                <w:rFonts w:ascii="LitNusx" w:hAnsi="LitNusx"/>
                <w:sz w:val="20"/>
                <w:szCs w:val="20"/>
              </w:rPr>
            </w:pPr>
          </w:p>
        </w:tc>
        <w:tc>
          <w:tcPr>
            <w:tcW w:w="2089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</w:tr>
      <w:tr w:rsidR="00655B3E" w:rsidRPr="00014575" w:rsidTr="000F7CB6">
        <w:trPr>
          <w:trHeight w:val="535"/>
        </w:trPr>
        <w:tc>
          <w:tcPr>
            <w:tcW w:w="720" w:type="dxa"/>
          </w:tcPr>
          <w:p w:rsidR="00655B3E" w:rsidRPr="00B50379" w:rsidRDefault="00655B3E" w:rsidP="000F7CB6">
            <w:pPr>
              <w:rPr>
                <w:rFonts w:ascii="Sylfaen" w:hAnsi="Sylfaen"/>
                <w:sz w:val="16"/>
                <w:lang w:val="ka-GE"/>
              </w:rPr>
            </w:pPr>
            <w:r>
              <w:rPr>
                <w:rFonts w:ascii="Sylfaen" w:hAnsi="Sylfaen"/>
                <w:sz w:val="16"/>
                <w:lang w:val="ka-GE"/>
              </w:rPr>
              <w:t>8</w:t>
            </w:r>
          </w:p>
        </w:tc>
        <w:tc>
          <w:tcPr>
            <w:tcW w:w="2378" w:type="dxa"/>
          </w:tcPr>
          <w:p w:rsidR="00655B3E" w:rsidRPr="00B50379" w:rsidRDefault="00655B3E" w:rsidP="000F7CB6">
            <w:pPr>
              <w:rPr>
                <w:rFonts w:ascii="LitNusx" w:hAnsi="LitNusx"/>
                <w:sz w:val="20"/>
                <w:szCs w:val="20"/>
              </w:rPr>
            </w:pPr>
          </w:p>
        </w:tc>
        <w:tc>
          <w:tcPr>
            <w:tcW w:w="2302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  <w:tc>
          <w:tcPr>
            <w:tcW w:w="2434" w:type="dxa"/>
          </w:tcPr>
          <w:p w:rsidR="00655B3E" w:rsidRPr="00B50379" w:rsidRDefault="00655B3E" w:rsidP="000F7CB6">
            <w:pPr>
              <w:rPr>
                <w:rFonts w:ascii="LitNusx" w:hAnsi="LitNusx"/>
                <w:sz w:val="20"/>
                <w:szCs w:val="20"/>
              </w:rPr>
            </w:pPr>
          </w:p>
        </w:tc>
        <w:tc>
          <w:tcPr>
            <w:tcW w:w="2089" w:type="dxa"/>
          </w:tcPr>
          <w:p w:rsidR="00655B3E" w:rsidRPr="00014575" w:rsidRDefault="00655B3E" w:rsidP="000F7CB6">
            <w:pPr>
              <w:rPr>
                <w:rFonts w:ascii="LitNusx" w:hAnsi="LitNusx"/>
                <w:sz w:val="16"/>
              </w:rPr>
            </w:pPr>
          </w:p>
        </w:tc>
      </w:tr>
    </w:tbl>
    <w:p w:rsidR="00655B3E" w:rsidRDefault="00655B3E"/>
    <w:sectPr w:rsidR="00655B3E" w:rsidSect="00B6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55B3E"/>
    <w:rsid w:val="00655B3E"/>
    <w:rsid w:val="0094657D"/>
    <w:rsid w:val="00B6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amaghradze</dc:creator>
  <cp:keywords/>
  <dc:description/>
  <cp:lastModifiedBy>amaghradze</cp:lastModifiedBy>
  <cp:revision>2</cp:revision>
  <dcterms:created xsi:type="dcterms:W3CDTF">2014-01-14T11:55:00Z</dcterms:created>
  <dcterms:modified xsi:type="dcterms:W3CDTF">2014-01-14T11:58:00Z</dcterms:modified>
</cp:coreProperties>
</file>