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47" w:rsidRDefault="00F65E47" w:rsidP="00F65E47">
      <w:pPr>
        <w:spacing w:before="240" w:after="240"/>
        <w:rPr>
          <w:rFonts w:ascii="LitMtavrPS" w:hAnsi="LitMtavrPS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1294130" cy="1326515"/>
            <wp:effectExtent l="19050" t="0" r="1270" b="0"/>
            <wp:wrapSquare wrapText="right"/>
            <wp:docPr id="11" name="Picture 1" descr="Description: Description: Description: C:\Users\l_dvali\Desktop\m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l_dvali\Desktop\me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E47" w:rsidRDefault="00F65E47" w:rsidP="00F65E47">
      <w:pPr>
        <w:spacing w:before="240" w:after="240"/>
        <w:jc w:val="center"/>
        <w:rPr>
          <w:rFonts w:ascii="LitMtavrPS" w:hAnsi="LitMtavrPS"/>
          <w:b/>
          <w:noProof/>
          <w:sz w:val="28"/>
          <w:szCs w:val="28"/>
        </w:rPr>
      </w:pPr>
    </w:p>
    <w:p w:rsidR="00F65E47" w:rsidRDefault="00F65E47" w:rsidP="00F65E47">
      <w:pPr>
        <w:spacing w:before="240" w:after="240"/>
        <w:jc w:val="center"/>
        <w:rPr>
          <w:rFonts w:ascii="LitMtavrPS" w:hAnsi="LitMtavrPS"/>
          <w:b/>
          <w:noProof/>
          <w:sz w:val="28"/>
          <w:szCs w:val="28"/>
        </w:rPr>
      </w:pPr>
    </w:p>
    <w:p w:rsidR="00F65E47" w:rsidRPr="003D52DF" w:rsidRDefault="00F65E47" w:rsidP="00F65E47">
      <w:pPr>
        <w:spacing w:before="240" w:after="240"/>
        <w:jc w:val="center"/>
        <w:rPr>
          <w:rFonts w:ascii="LitMtavrPS" w:hAnsi="LitMtavrPS"/>
          <w:b/>
          <w:noProof/>
          <w:sz w:val="6"/>
          <w:szCs w:val="6"/>
        </w:rPr>
      </w:pPr>
    </w:p>
    <w:p w:rsidR="00F65E47" w:rsidRPr="00647E03" w:rsidRDefault="006866C7" w:rsidP="00F65E47">
      <w:pPr>
        <w:spacing w:before="240" w:after="240"/>
        <w:jc w:val="center"/>
        <w:rPr>
          <w:rFonts w:ascii="Sylfaen" w:hAnsi="Sylfaen"/>
          <w:b/>
          <w:bCs/>
          <w:shadow/>
          <w:noProof/>
          <w:spacing w:val="76"/>
          <w:sz w:val="26"/>
          <w:szCs w:val="26"/>
          <w:lang w:val="ka-GE"/>
        </w:rPr>
      </w:pPr>
      <w:r>
        <w:rPr>
          <w:rFonts w:ascii="LitNusx" w:hAnsi="LitNusx"/>
          <w:b/>
          <w:bCs/>
          <w:shadow/>
          <w:noProof/>
          <w:spacing w:val="76"/>
          <w:sz w:val="26"/>
          <w:szCs w:val="2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3.15pt;margin-top:20.45pt;width:117pt;height:150.35pt;z-index:251660288;mso-position-horizontal-relative:text;mso-position-vertical-relative:text" strokeweight=".5pt">
            <v:stroke color2="red" linestyle="thinThin"/>
            <v:imagedata embosscolor="shadow add(51)"/>
            <v:shadow on="t" type="emboss" color="lineOrFill darken(153)" color2="shadow add(102)" offset="1pt,1pt"/>
            <v:textbox style="mso-next-textbox:#_x0000_s1033">
              <w:txbxContent>
                <w:p w:rsidR="00F65E47" w:rsidRDefault="00B87AA9" w:rsidP="00F65E47">
                  <w:pPr>
                    <w:rPr>
                      <w:lang w:val="af-ZA"/>
                    </w:rPr>
                  </w:pPr>
                  <w:r>
                    <w:rPr>
                      <w:rFonts w:ascii="LitMtavrPS" w:hAnsi="LitMtavrPS"/>
                      <w:noProof/>
                      <w:sz w:val="20"/>
                      <w:szCs w:val="20"/>
                    </w:rPr>
                    <w:drawing>
                      <wp:inline distT="0" distB="0" distL="0" distR="0" wp14:anchorId="04D8A53D" wp14:editId="0647CFD5">
                        <wp:extent cx="1296670" cy="1663700"/>
                        <wp:effectExtent l="0" t="0" r="0" b="0"/>
                        <wp:docPr id="1" name="Picture 1" descr="C:\Users\stajiori11\AppData\Local\Microsoft\Windows\INetCache\Content.Word\22855639_2000504953527165_72565707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stajiori11\AppData\Local\Microsoft\Windows\INetCache\Content.Word\22855639_2000504953527165_72565707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670" cy="166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5E47" w:rsidRDefault="00F65E47" w:rsidP="00F65E47">
                  <w:pPr>
                    <w:rPr>
                      <w:lang w:val="af-ZA"/>
                    </w:rPr>
                  </w:pPr>
                </w:p>
                <w:p w:rsidR="00F65E47" w:rsidRDefault="00F65E47" w:rsidP="00F65E47">
                  <w:pPr>
                    <w:rPr>
                      <w:lang w:val="af-ZA"/>
                    </w:rPr>
                  </w:pPr>
                </w:p>
                <w:p w:rsidR="00F65E47" w:rsidRDefault="00F65E47" w:rsidP="00F65E47">
                  <w:pPr>
                    <w:rPr>
                      <w:lang w:val="af-ZA"/>
                    </w:rPr>
                  </w:pPr>
                </w:p>
                <w:p w:rsidR="00F65E47" w:rsidRPr="00014575" w:rsidRDefault="00F65E47" w:rsidP="00F65E47">
                  <w:pPr>
                    <w:jc w:val="center"/>
                    <w:rPr>
                      <w:rFonts w:ascii="LitMtavrPS" w:hAnsi="LitMtavrPS"/>
                      <w:sz w:val="22"/>
                      <w:szCs w:val="22"/>
                      <w:lang w:val="af-ZA"/>
                    </w:rPr>
                  </w:pPr>
                  <w:r w:rsidRPr="00014575">
                    <w:rPr>
                      <w:rFonts w:ascii="LitMtavrPS" w:hAnsi="LitMtavrPS"/>
                      <w:sz w:val="22"/>
                      <w:szCs w:val="22"/>
                      <w:lang w:val="af-ZA"/>
                    </w:rPr>
                    <w:t>fotosuraTi</w:t>
                  </w:r>
                </w:p>
              </w:txbxContent>
            </v:textbox>
          </v:shape>
        </w:pict>
      </w:r>
      <w:r w:rsidR="00F65E47" w:rsidRPr="00647E03">
        <w:rPr>
          <w:rFonts w:ascii="LitMtavrPS" w:hAnsi="LitMtavrPS"/>
          <w:b/>
          <w:noProof/>
          <w:sz w:val="26"/>
          <w:szCs w:val="26"/>
        </w:rPr>
        <w:t>kadrebis aRricxvis furceli</w:t>
      </w:r>
    </w:p>
    <w:p w:rsidR="00F65E47" w:rsidRPr="00014575" w:rsidRDefault="006866C7" w:rsidP="00F65E47">
      <w:pPr>
        <w:jc w:val="both"/>
        <w:rPr>
          <w:rFonts w:ascii="LitNusx" w:hAnsi="LitNusx"/>
          <w:b/>
          <w:bCs/>
          <w:shadow/>
          <w:sz w:val="22"/>
          <w:szCs w:val="22"/>
          <w:lang w:val="af-ZA"/>
        </w:rPr>
      </w:pPr>
      <w:r>
        <w:rPr>
          <w:rFonts w:ascii="LitNusx" w:hAnsi="LitNusx"/>
          <w:color w:val="1F497D"/>
          <w:sz w:val="22"/>
          <w:szCs w:val="22"/>
          <w:lang w:val="af-ZA"/>
        </w:rPr>
      </w:r>
      <w:r>
        <w:rPr>
          <w:rFonts w:ascii="LitNusx" w:hAnsi="LitNusx"/>
          <w:color w:val="1F497D"/>
          <w:sz w:val="22"/>
          <w:szCs w:val="22"/>
          <w:lang w:val="af-ZA"/>
        </w:rPr>
        <w:pict>
          <v:shape id="_x0000_s1043" type="#_x0000_t202" style="width:495.75pt;height:19.45pt;mso-left-percent:-10001;mso-top-percent:-10001;mso-position-horizontal:absolute;mso-position-horizontal-relative:char;mso-position-vertical:absolute;mso-position-vertical-relative:line;mso-left-percent:-10001;mso-top-percent:-10001" fillcolor="#002060" strokecolor="#17365d" strokeweight="1.25pt">
            <v:imagedata embosscolor="shadow add(51)"/>
            <v:shadow on="t" type="emboss" color="lineOrFill darken(153)" color2="shadow add(102)" offset="1pt,1pt"/>
            <v:textbox style="mso-next-textbox:#_x0000_s1043">
              <w:txbxContent>
                <w:p w:rsidR="00F65E47" w:rsidRPr="00381B3D" w:rsidRDefault="00F65E47" w:rsidP="00F65E47">
                  <w:pPr>
                    <w:rPr>
                      <w:rFonts w:ascii="LitNusx" w:hAnsi="LitNusx"/>
                      <w:b/>
                      <w:color w:val="FFFFFF"/>
                      <w:sz w:val="22"/>
                      <w:szCs w:val="22"/>
                      <w:lang w:val="af-ZA"/>
                    </w:rPr>
                  </w:pPr>
                  <w:r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  <w:t>piradi informacia</w:t>
                  </w:r>
                </w:p>
              </w:txbxContent>
            </v:textbox>
            <w10:wrap type="none"/>
            <w10:anchorlock/>
          </v:shape>
        </w:pict>
      </w:r>
      <w:r w:rsidR="00F65E47" w:rsidRPr="00014575">
        <w:rPr>
          <w:rFonts w:ascii="LitNusx" w:hAnsi="LitNusx"/>
          <w:b/>
          <w:bCs/>
          <w:shadow/>
          <w:sz w:val="22"/>
          <w:szCs w:val="22"/>
          <w:lang w:val="af-ZA"/>
        </w:rPr>
        <w:t xml:space="preserve"> </w:t>
      </w:r>
    </w:p>
    <w:p w:rsidR="00F65E47" w:rsidRDefault="00F65E47" w:rsidP="00F65E47">
      <w:pPr>
        <w:jc w:val="both"/>
        <w:rPr>
          <w:rFonts w:ascii="LitMtavrPS" w:hAnsi="LitMtavrPS"/>
          <w:sz w:val="20"/>
          <w:szCs w:val="20"/>
          <w:lang w:val="af-ZA"/>
        </w:rPr>
      </w:pPr>
    </w:p>
    <w:p w:rsidR="00F65E47" w:rsidRPr="00B87AA9" w:rsidRDefault="00F65E47" w:rsidP="00F65E47">
      <w:pPr>
        <w:jc w:val="both"/>
        <w:rPr>
          <w:rFonts w:ascii="Sylfaen" w:hAnsi="Sylfaen"/>
          <w:sz w:val="22"/>
          <w:szCs w:val="22"/>
          <w:lang w:val="ka-GE"/>
        </w:rPr>
      </w:pPr>
      <w:r w:rsidRPr="00014575">
        <w:rPr>
          <w:rFonts w:ascii="LitMtavrPS" w:hAnsi="LitMtavrPS"/>
          <w:sz w:val="20"/>
          <w:szCs w:val="20"/>
          <w:lang w:val="af-ZA"/>
        </w:rPr>
        <w:t>gvari,</w:t>
      </w:r>
      <w:r w:rsidRPr="00014575">
        <w:rPr>
          <w:rFonts w:ascii="LitMtavrPS" w:hAnsi="LitMtavrPS"/>
          <w:sz w:val="22"/>
          <w:szCs w:val="22"/>
          <w:lang w:val="af-ZA"/>
        </w:rPr>
        <w:t xml:space="preserve"> </w:t>
      </w:r>
      <w:r w:rsidRPr="00014575">
        <w:rPr>
          <w:rFonts w:ascii="LitMtavrPS" w:hAnsi="LitMtavrPS"/>
          <w:sz w:val="20"/>
          <w:szCs w:val="20"/>
          <w:lang w:val="af-ZA"/>
        </w:rPr>
        <w:t>saxeli, mamis saxeli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014575">
        <w:rPr>
          <w:rFonts w:ascii="LitMtavrPS" w:hAnsi="LitMtavrPS"/>
          <w:sz w:val="20"/>
          <w:szCs w:val="20"/>
          <w:lang w:val="af-ZA"/>
        </w:rPr>
        <w:t xml:space="preserve"> </w:t>
      </w:r>
      <w:r w:rsidR="00B87AA9">
        <w:rPr>
          <w:rFonts w:ascii="Sylfaen" w:hAnsi="Sylfaen"/>
          <w:sz w:val="20"/>
          <w:szCs w:val="20"/>
          <w:lang w:val="ka-GE"/>
        </w:rPr>
        <w:t>ლალი კალანდაძე გიორგის ასული</w:t>
      </w:r>
    </w:p>
    <w:p w:rsidR="00F65E47" w:rsidRDefault="006866C7" w:rsidP="00F65E47">
      <w:pPr>
        <w:rPr>
          <w:rFonts w:ascii="LitNusx" w:hAnsi="LitNusx"/>
          <w:i/>
          <w:spacing w:val="-22"/>
          <w:sz w:val="20"/>
          <w:szCs w:val="20"/>
          <w:lang w:val="af-ZA"/>
        </w:rPr>
      </w:pPr>
      <w:r>
        <w:rPr>
          <w:rFonts w:ascii="LitMtavrPS" w:hAnsi="LitMtavrP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7.6pt;margin-top:-.25pt;width:188.4pt;height:0;z-index:251663360;mso-position-vertical-relative:line" o:connectortype="straight" strokeweight="1pt">
            <v:imagedata embosscolor="shadow add(51)"/>
            <v:shadow color="#868686"/>
          </v:shape>
        </w:pict>
      </w:r>
    </w:p>
    <w:p w:rsidR="00F65E47" w:rsidRDefault="00F65E47" w:rsidP="00F65E47">
      <w:pPr>
        <w:rPr>
          <w:rFonts w:ascii="LitNusx" w:hAnsi="LitNusx"/>
          <w:i/>
          <w:spacing w:val="-22"/>
          <w:sz w:val="20"/>
          <w:szCs w:val="20"/>
          <w:lang w:val="af-ZA"/>
        </w:rPr>
      </w:pPr>
      <w:r>
        <w:rPr>
          <w:rFonts w:ascii="LitNusx" w:hAnsi="LitNusx"/>
          <w:i/>
          <w:spacing w:val="-22"/>
          <w:sz w:val="20"/>
          <w:szCs w:val="20"/>
          <w:lang w:val="af-ZA"/>
        </w:rPr>
        <w:t>gTxovT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miuTiToT Tu Secvlili gaqvT gvari,</w:t>
      </w:r>
      <w:r>
        <w:rPr>
          <w:rFonts w:ascii="LitNusx" w:hAnsi="LitNusx"/>
          <w:i/>
          <w:spacing w:val="-22"/>
          <w:sz w:val="20"/>
          <w:szCs w:val="20"/>
          <w:lang w:val="af-ZA"/>
        </w:rPr>
        <w:t xml:space="preserve"> 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>saxeli</w:t>
      </w:r>
      <w:r>
        <w:rPr>
          <w:rFonts w:ascii="LitNusx" w:hAnsi="LitNusx"/>
          <w:i/>
          <w:spacing w:val="-22"/>
          <w:sz w:val="20"/>
          <w:szCs w:val="20"/>
          <w:lang w:val="af-ZA"/>
        </w:rPr>
        <w:t xml:space="preserve"> 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>(</w:t>
      </w:r>
      <w:r w:rsidRPr="00014575">
        <w:rPr>
          <w:rFonts w:ascii="LitNusx" w:hAnsi="LitNusx"/>
          <w:i/>
          <w:sz w:val="20"/>
          <w:szCs w:val="20"/>
          <w:lang w:val="af-ZA"/>
        </w:rPr>
        <w:t>uCveneT rodis da ra mizeziT)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 </w:t>
      </w:r>
    </w:p>
    <w:p w:rsidR="00F65E47" w:rsidRPr="00014575" w:rsidRDefault="006866C7" w:rsidP="00F65E47">
      <w:pPr>
        <w:rPr>
          <w:rFonts w:ascii="LitNusx" w:hAnsi="LitNusx"/>
          <w:sz w:val="22"/>
          <w:szCs w:val="22"/>
          <w:lang w:val="af-ZA"/>
        </w:rPr>
      </w:pPr>
      <w:r>
        <w:rPr>
          <w:rFonts w:ascii="LitNusx" w:hAnsi="LitNusx"/>
          <w:i/>
          <w:noProof/>
          <w:spacing w:val="-22"/>
          <w:sz w:val="20"/>
          <w:szCs w:val="20"/>
        </w:rPr>
        <w:pict>
          <v:shape id="_x0000_s1037" type="#_x0000_t32" style="position:absolute;margin-left:1.35pt;margin-top:10.3pt;width:364.65pt;height:0;z-index:251664384;mso-position-vertical-relative:line" o:connectortype="straight" strokeweight="1pt">
            <v:imagedata embosscolor="shadow add(51)"/>
            <v:shadow color="#868686"/>
          </v:shape>
        </w:pict>
      </w:r>
      <w:r w:rsidR="00F65E47"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           </w:t>
      </w:r>
    </w:p>
    <w:p w:rsidR="00F65E47" w:rsidRPr="00014575" w:rsidRDefault="006866C7" w:rsidP="00F65E47">
      <w:pPr>
        <w:spacing w:before="240" w:after="240"/>
        <w:rPr>
          <w:rFonts w:ascii="LitNusx" w:hAnsi="LitNusx"/>
          <w:sz w:val="22"/>
          <w:szCs w:val="22"/>
          <w:lang w:val="af-ZA"/>
        </w:rPr>
      </w:pPr>
      <w:r>
        <w:rPr>
          <w:rFonts w:ascii="LitMtavrPS" w:hAnsi="LitMtavrPS"/>
          <w:noProof/>
          <w:sz w:val="20"/>
          <w:szCs w:val="20"/>
        </w:rPr>
        <w:pict>
          <v:shape id="_x0000_s1038" type="#_x0000_t32" style="position:absolute;margin-left:83.9pt;margin-top:23.4pt;width:282.1pt;height:0;z-index:251665408;mso-position-vertical-relative:line" o:connectortype="straight" strokeweight="1pt">
            <v:imagedata embosscolor="shadow add(51)"/>
            <v:shadow color="#868686"/>
          </v:shape>
        </w:pict>
      </w:r>
      <w:r w:rsidR="00F65E47">
        <w:rPr>
          <w:rFonts w:ascii="LitMtavrPS" w:hAnsi="LitMtavrPS"/>
          <w:sz w:val="20"/>
          <w:szCs w:val="20"/>
          <w:lang w:val="af-ZA"/>
        </w:rPr>
        <w:t>m</w:t>
      </w:r>
      <w:r w:rsidR="00F65E47" w:rsidRPr="00E36C9E">
        <w:rPr>
          <w:rFonts w:ascii="LitMtavrPS" w:hAnsi="LitMtavrPS"/>
          <w:sz w:val="20"/>
          <w:szCs w:val="20"/>
          <w:lang w:val="af-ZA"/>
        </w:rPr>
        <w:t>oqalaqeoba</w:t>
      </w:r>
      <w:r w:rsidR="00F65E47">
        <w:rPr>
          <w:rFonts w:ascii="LitMtavrPS" w:hAnsi="LitMtavrPS"/>
          <w:sz w:val="20"/>
          <w:szCs w:val="20"/>
          <w:lang w:val="af-ZA"/>
        </w:rPr>
        <w:t>:</w:t>
      </w:r>
      <w:r w:rsidR="00F65E47" w:rsidRPr="00014575">
        <w:rPr>
          <w:rFonts w:ascii="LitNusx" w:hAnsi="LitNusx"/>
          <w:sz w:val="22"/>
          <w:szCs w:val="22"/>
          <w:lang w:val="af-ZA"/>
        </w:rPr>
        <w:t xml:space="preserve"> </w:t>
      </w:r>
      <w:r w:rsidR="00F65E47">
        <w:rPr>
          <w:rFonts w:ascii="LitNusx" w:hAnsi="LitNusx"/>
          <w:sz w:val="22"/>
          <w:szCs w:val="22"/>
          <w:lang w:val="af-ZA"/>
        </w:rPr>
        <w:t>saqarTvelo</w:t>
      </w:r>
    </w:p>
    <w:p w:rsidR="00F65E47" w:rsidRPr="00014575" w:rsidRDefault="006866C7" w:rsidP="00F65E47">
      <w:pPr>
        <w:spacing w:before="240" w:after="240"/>
        <w:rPr>
          <w:rFonts w:ascii="LitNusx" w:hAnsi="LitNusx"/>
          <w:sz w:val="22"/>
          <w:szCs w:val="22"/>
          <w:lang w:val="af-ZA"/>
        </w:rPr>
      </w:pPr>
      <w:r>
        <w:rPr>
          <w:rFonts w:ascii="LitMtavrPS" w:hAnsi="LitMtavrPS"/>
          <w:noProof/>
          <w:sz w:val="20"/>
          <w:szCs w:val="20"/>
        </w:rPr>
        <w:pict>
          <v:shape id="_x0000_s1039" type="#_x0000_t32" style="position:absolute;margin-left:177.6pt;margin-top:11.7pt;width:188.4pt;height:0;z-index:251666432;mso-position-vertical-relative:line" o:connectortype="straight" strokeweight="1pt">
            <v:imagedata embosscolor="shadow add(51)"/>
            <v:shadow color="#868686"/>
          </v:shape>
        </w:pict>
      </w:r>
      <w:r w:rsidR="00F65E47" w:rsidRPr="00E36C9E">
        <w:rPr>
          <w:rFonts w:ascii="LitMtavrPS" w:hAnsi="LitMtavrPS"/>
          <w:sz w:val="20"/>
          <w:szCs w:val="20"/>
          <w:lang w:val="af-ZA"/>
        </w:rPr>
        <w:t>dabadebis ricxvi, Tve, weli</w:t>
      </w:r>
      <w:r w:rsidR="00F65E47">
        <w:rPr>
          <w:rFonts w:ascii="LitMtavrPS" w:hAnsi="LitMtavrPS"/>
          <w:sz w:val="20"/>
          <w:szCs w:val="20"/>
          <w:lang w:val="af-ZA"/>
        </w:rPr>
        <w:t>:</w:t>
      </w:r>
      <w:r w:rsidR="00F65E47" w:rsidRPr="00E36C9E">
        <w:rPr>
          <w:rFonts w:ascii="LitMtavrPS" w:hAnsi="LitMtavrPS"/>
          <w:sz w:val="20"/>
          <w:szCs w:val="20"/>
          <w:lang w:val="af-ZA"/>
        </w:rPr>
        <w:t xml:space="preserve"> </w:t>
      </w:r>
      <w:r w:rsidR="00B87AA9">
        <w:rPr>
          <w:rFonts w:ascii="LitMtavrPS" w:hAnsi="LitMtavrPS"/>
          <w:sz w:val="20"/>
          <w:szCs w:val="20"/>
          <w:lang w:val="af-ZA"/>
        </w:rPr>
        <w:t xml:space="preserve">  21.08.1983</w:t>
      </w:r>
    </w:p>
    <w:p w:rsidR="00F65E47" w:rsidRDefault="00F65E47" w:rsidP="00F65E47">
      <w:pPr>
        <w:tabs>
          <w:tab w:val="left" w:pos="3940"/>
        </w:tabs>
        <w:spacing w:before="240" w:after="240"/>
        <w:rPr>
          <w:rFonts w:ascii="LitNusx" w:hAnsi="LitNusx"/>
          <w:sz w:val="22"/>
          <w:szCs w:val="22"/>
          <w:lang w:val="af-ZA"/>
        </w:rPr>
      </w:pPr>
      <w:r w:rsidRPr="00E36C9E">
        <w:rPr>
          <w:rFonts w:ascii="LitMtavrPS" w:hAnsi="LitMtavrPS"/>
          <w:sz w:val="20"/>
          <w:szCs w:val="20"/>
          <w:lang w:val="af-ZA"/>
        </w:rPr>
        <w:t>ojaxuri mdgomareoba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E36C9E">
        <w:rPr>
          <w:rFonts w:ascii="LitMtavrPS" w:hAnsi="LitMtavrPS"/>
          <w:sz w:val="20"/>
          <w:szCs w:val="20"/>
          <w:lang w:val="af-ZA"/>
        </w:rPr>
        <w:t xml:space="preserve"> </w:t>
      </w:r>
      <w:r>
        <w:rPr>
          <w:rFonts w:ascii="LitMtavrPS" w:hAnsi="LitMtavrPS"/>
          <w:sz w:val="20"/>
          <w:szCs w:val="20"/>
          <w:lang w:val="af-ZA"/>
        </w:rPr>
        <w:tab/>
      </w:r>
    </w:p>
    <w:p w:rsidR="00F65E47" w:rsidRPr="00765608" w:rsidRDefault="006866C7" w:rsidP="00F65E47">
      <w:pPr>
        <w:spacing w:before="240" w:after="240"/>
        <w:ind w:left="2160" w:firstLine="720"/>
        <w:rPr>
          <w:rFonts w:ascii="LitNusx" w:hAnsi="LitNusx"/>
          <w:sz w:val="22"/>
          <w:szCs w:val="22"/>
          <w:lang w:val="af-ZA"/>
        </w:rPr>
      </w:pPr>
      <w:r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42" style="width:9pt;height:9pt;mso-left-percent:-10001;mso-top-percent:-10001;mso-position-horizontal:absolute;mso-position-horizontal-relative:char;mso-position-vertical:absolute;mso-position-vertical-relative:line;mso-left-percent:-10001;mso-top-percent:-10001" strokecolor="#333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 w:rsidR="00F65E47" w:rsidRPr="00765608">
        <w:rPr>
          <w:rFonts w:ascii="LitNusx" w:hAnsi="LitNusx"/>
          <w:sz w:val="22"/>
          <w:szCs w:val="22"/>
          <w:lang w:val="af-ZA"/>
        </w:rPr>
        <w:t xml:space="preserve"> dasaojaxebeli </w:t>
      </w:r>
      <w:r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41" style="width:9pt;height:9pt;mso-left-percent:-10001;mso-top-percent:-10001;mso-position-horizontal:absolute;mso-position-horizontal-relative:char;mso-position-vertical:absolute;mso-position-vertical-relative:line;mso-left-percent:-10001;mso-top-percent:-10001" fillcolor="black" strokecolor="#f2f2f2" strokeweight="3pt">
            <v:imagedata embosscolor="shadow add(51)"/>
            <v:shadow on="t" type="perspective" color="#7f7f7f" opacity=".5" offset="1pt" offset2="-1pt"/>
            <w10:wrap type="none"/>
            <w10:anchorlock/>
          </v:rect>
        </w:pict>
      </w:r>
      <w:r w:rsidR="00F65E47" w:rsidRPr="00765608">
        <w:rPr>
          <w:rFonts w:ascii="LitNusx" w:hAnsi="LitNusx"/>
          <w:sz w:val="22"/>
          <w:szCs w:val="22"/>
          <w:lang w:val="af-ZA"/>
        </w:rPr>
        <w:t xml:space="preserve"> daojaxebuli </w:t>
      </w:r>
      <w:r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40" style="width:9pt;height:9pt;mso-left-percent:-10001;mso-top-percent:-10001;mso-position-horizontal:absolute;mso-position-horizontal-relative:char;mso-position-vertical:absolute;mso-position-vertical-relative:line;mso-left-percent:-10001;mso-top-percent:-10001" strokecolor="#333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 w:rsidR="00F65E47" w:rsidRPr="00765608">
        <w:rPr>
          <w:rFonts w:ascii="LitNusx" w:hAnsi="LitNusx"/>
          <w:sz w:val="22"/>
          <w:szCs w:val="22"/>
          <w:lang w:val="af-ZA"/>
        </w:rPr>
        <w:t xml:space="preserve"> ganqorwinebuli</w:t>
      </w:r>
    </w:p>
    <w:p w:rsidR="00F65E47" w:rsidRDefault="00F65E4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F65E47" w:rsidRDefault="006866C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  <w:r>
        <w:rPr>
          <w:rFonts w:ascii="LitNusx" w:hAnsi="LitNusx"/>
          <w:noProof/>
          <w:sz w:val="22"/>
          <w:szCs w:val="22"/>
        </w:rPr>
        <w:pict>
          <v:shape id="_x0000_s1034" type="#_x0000_t202" style="position:absolute;margin-left:-2.8pt;margin-top:8.25pt;width:498.8pt;height:23.15pt;z-index:251661312" fillcolor="#002060" strokecolor="#17365d" strokeweight="1.25pt">
            <v:imagedata embosscolor="shadow add(51)"/>
            <v:shadow on="t" type="emboss" color="lineOrFill darken(153)" color2="shadow add(102)" offset="1pt,1pt"/>
            <v:textbox style="mso-next-textbox:#_x0000_s1034">
              <w:txbxContent>
                <w:p w:rsidR="00F65E47" w:rsidRPr="00381B3D" w:rsidRDefault="00F65E47" w:rsidP="00F65E47">
                  <w:pPr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</w:pPr>
                  <w:r w:rsidRPr="00381B3D"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  <w:t>ganaTleba</w:t>
                  </w:r>
                </w:p>
              </w:txbxContent>
            </v:textbox>
          </v:shape>
        </w:pict>
      </w:r>
    </w:p>
    <w:p w:rsidR="00F65E47" w:rsidRDefault="00F65E4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F65E47" w:rsidRDefault="00F65E4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F65E47" w:rsidRPr="00014575" w:rsidRDefault="00F65E4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36"/>
        <w:gridCol w:w="2106"/>
        <w:gridCol w:w="2178"/>
        <w:gridCol w:w="2160"/>
      </w:tblGrid>
      <w:tr w:rsidR="00F65E47" w:rsidRPr="00014575" w:rsidTr="0022100A">
        <w:tc>
          <w:tcPr>
            <w:tcW w:w="720" w:type="dxa"/>
            <w:shd w:val="clear" w:color="auto" w:fill="E6E6E6"/>
            <w:vAlign w:val="center"/>
          </w:tcPr>
          <w:p w:rsidR="00F65E47" w:rsidRPr="00014575" w:rsidRDefault="00F65E47" w:rsidP="0022100A">
            <w:pPr>
              <w:jc w:val="center"/>
              <w:rPr>
                <w:rFonts w:ascii="LitNusx" w:hAnsi="LitNusx"/>
                <w:b/>
                <w:sz w:val="20"/>
                <w:szCs w:val="20"/>
              </w:rPr>
            </w:pPr>
            <w:r w:rsidRPr="00014575">
              <w:rPr>
                <w:rFonts w:ascii="LitNusx" w:hAnsi="LitNusx"/>
                <w:b/>
                <w:sz w:val="20"/>
                <w:szCs w:val="20"/>
              </w:rPr>
              <w:t>#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F65E47" w:rsidRPr="00B75D4B" w:rsidRDefault="00F65E47" w:rsidP="0022100A">
            <w:pPr>
              <w:jc w:val="center"/>
              <w:rPr>
                <w:rFonts w:ascii="LitNusx" w:hAnsi="LitNusx"/>
                <w:sz w:val="20"/>
                <w:szCs w:val="20"/>
              </w:rPr>
            </w:pPr>
            <w:r w:rsidRPr="00B75D4B">
              <w:rPr>
                <w:rFonts w:ascii="LitNusx" w:hAnsi="LitNusx"/>
                <w:sz w:val="20"/>
                <w:szCs w:val="20"/>
              </w:rPr>
              <w:t>saswavleblis dasaxeleba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F65E47" w:rsidRPr="00B75D4B" w:rsidRDefault="00F65E47" w:rsidP="0022100A">
            <w:pPr>
              <w:jc w:val="center"/>
              <w:rPr>
                <w:rFonts w:ascii="LitNusx" w:hAnsi="LitNusx"/>
                <w:sz w:val="20"/>
                <w:szCs w:val="20"/>
              </w:rPr>
            </w:pPr>
            <w:r w:rsidRPr="00B75D4B">
              <w:rPr>
                <w:rFonts w:ascii="LitNusx" w:hAnsi="LitNusx"/>
                <w:sz w:val="20"/>
                <w:szCs w:val="20"/>
              </w:rPr>
              <w:t>swavlebis wlebi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F65E47" w:rsidRPr="00B75D4B" w:rsidRDefault="00F65E47" w:rsidP="0022100A">
            <w:pPr>
              <w:jc w:val="center"/>
              <w:rPr>
                <w:rFonts w:ascii="LitNusx" w:hAnsi="LitNusx"/>
                <w:bCs/>
                <w:color w:val="0000FF"/>
                <w:sz w:val="20"/>
                <w:szCs w:val="20"/>
              </w:rPr>
            </w:pPr>
            <w:r w:rsidRPr="00B75D4B">
              <w:rPr>
                <w:rFonts w:ascii="LitNusx" w:hAnsi="LitNusx"/>
                <w:bCs/>
                <w:sz w:val="20"/>
                <w:szCs w:val="20"/>
              </w:rPr>
              <w:t>fakulteti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F65E47" w:rsidRPr="00B75D4B" w:rsidRDefault="00F65E47" w:rsidP="0022100A">
            <w:pPr>
              <w:jc w:val="center"/>
              <w:rPr>
                <w:rFonts w:ascii="LitNusx" w:hAnsi="LitNusx"/>
                <w:bCs/>
                <w:sz w:val="20"/>
                <w:szCs w:val="20"/>
              </w:rPr>
            </w:pPr>
            <w:r>
              <w:rPr>
                <w:rFonts w:ascii="LitNusx" w:hAnsi="LitNusx"/>
                <w:bCs/>
                <w:sz w:val="20"/>
                <w:szCs w:val="20"/>
              </w:rPr>
              <w:t>xarisxi</w:t>
            </w:r>
          </w:p>
        </w:tc>
      </w:tr>
      <w:tr w:rsidR="00F65E47" w:rsidRPr="00014575" w:rsidTr="0022100A">
        <w:trPr>
          <w:trHeight w:val="681"/>
        </w:trPr>
        <w:tc>
          <w:tcPr>
            <w:tcW w:w="720" w:type="dxa"/>
          </w:tcPr>
          <w:p w:rsidR="00F65E47" w:rsidRPr="00326DA2" w:rsidRDefault="00F65E47" w:rsidP="0022100A">
            <w:pPr>
              <w:rPr>
                <w:rFonts w:ascii="Sylfaen" w:hAnsi="Sylfaen"/>
                <w:sz w:val="16"/>
                <w:lang w:val="ka-GE"/>
              </w:rPr>
            </w:pPr>
            <w:bookmarkStart w:id="0" w:name="_GoBack" w:colFirst="1" w:colLast="4"/>
          </w:p>
        </w:tc>
        <w:tc>
          <w:tcPr>
            <w:tcW w:w="2736" w:type="dxa"/>
          </w:tcPr>
          <w:p w:rsidR="00F65E47" w:rsidRPr="006866C7" w:rsidRDefault="00B87AA9" w:rsidP="00B87AA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866C7"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საზოგადოებრივ საქმეთა ინსტიტუტი</w:t>
            </w:r>
          </w:p>
        </w:tc>
        <w:tc>
          <w:tcPr>
            <w:tcW w:w="2106" w:type="dxa"/>
          </w:tcPr>
          <w:p w:rsidR="00F65E47" w:rsidRPr="006866C7" w:rsidRDefault="00B87AA9" w:rsidP="0022100A">
            <w:pPr>
              <w:rPr>
                <w:rFonts w:ascii="LitNusx" w:hAnsi="LitNusx"/>
                <w:sz w:val="20"/>
                <w:szCs w:val="20"/>
                <w:lang w:val="ka-GE"/>
              </w:rPr>
            </w:pPr>
            <w:r w:rsidRPr="006866C7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 09.2006-07.2008</w:t>
            </w:r>
          </w:p>
        </w:tc>
        <w:tc>
          <w:tcPr>
            <w:tcW w:w="2178" w:type="dxa"/>
          </w:tcPr>
          <w:p w:rsidR="00F65E47" w:rsidRPr="006866C7" w:rsidRDefault="00B87AA9" w:rsidP="0022100A">
            <w:pPr>
              <w:rPr>
                <w:rFonts w:ascii="LitNusx" w:hAnsi="LitNusx"/>
                <w:sz w:val="20"/>
                <w:szCs w:val="20"/>
                <w:lang w:val="ka-GE"/>
              </w:rPr>
            </w:pPr>
            <w:r w:rsidRPr="006866C7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 და მუნიციპალური მართვა,სახელმწიფო მმართველობის სკოლა</w:t>
            </w:r>
          </w:p>
        </w:tc>
        <w:tc>
          <w:tcPr>
            <w:tcW w:w="2160" w:type="dxa"/>
          </w:tcPr>
          <w:p w:rsidR="00F65E47" w:rsidRPr="006866C7" w:rsidRDefault="00F65E47" w:rsidP="0022100A">
            <w:pPr>
              <w:rPr>
                <w:rFonts w:ascii="LitNusx" w:hAnsi="LitNusx"/>
                <w:sz w:val="20"/>
                <w:szCs w:val="20"/>
                <w:lang w:val="ka-GE"/>
              </w:rPr>
            </w:pPr>
            <w:r w:rsidRPr="006866C7">
              <w:rPr>
                <w:rFonts w:ascii="Sylfaen" w:hAnsi="Sylfaen" w:cs="Sylfaen"/>
                <w:sz w:val="20"/>
                <w:szCs w:val="20"/>
              </w:rPr>
              <w:t>მაგისტრ</w:t>
            </w:r>
            <w:r w:rsidRPr="006866C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</w:tr>
      <w:tr w:rsidR="00B87AA9" w:rsidRPr="00014575" w:rsidTr="0022100A">
        <w:trPr>
          <w:trHeight w:val="681"/>
        </w:trPr>
        <w:tc>
          <w:tcPr>
            <w:tcW w:w="720" w:type="dxa"/>
          </w:tcPr>
          <w:p w:rsidR="00B87AA9" w:rsidRPr="00326DA2" w:rsidRDefault="00B87AA9" w:rsidP="0022100A">
            <w:pPr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736" w:type="dxa"/>
          </w:tcPr>
          <w:p w:rsidR="00B87AA9" w:rsidRPr="006866C7" w:rsidRDefault="00B87AA9" w:rsidP="00B87AA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866C7">
              <w:rPr>
                <w:rFonts w:ascii="Sylfaen" w:hAnsi="Sylfaen"/>
                <w:sz w:val="20"/>
                <w:szCs w:val="20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2106" w:type="dxa"/>
          </w:tcPr>
          <w:p w:rsidR="00B87AA9" w:rsidRPr="006866C7" w:rsidRDefault="00B87AA9" w:rsidP="002210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66C7">
              <w:rPr>
                <w:rFonts w:ascii="Sylfaen" w:hAnsi="Sylfaen" w:cs="Sylfaen"/>
                <w:sz w:val="20"/>
                <w:szCs w:val="20"/>
                <w:lang w:val="ka-GE"/>
              </w:rPr>
              <w:t>09.2000-07.2004</w:t>
            </w:r>
          </w:p>
        </w:tc>
        <w:tc>
          <w:tcPr>
            <w:tcW w:w="2178" w:type="dxa"/>
          </w:tcPr>
          <w:p w:rsidR="00B87AA9" w:rsidRPr="006866C7" w:rsidRDefault="00B87AA9" w:rsidP="002210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66C7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ურთიერთობები, საერთაშორისო სამართალი და საერთაშორისო ურთიერთობები</w:t>
            </w:r>
          </w:p>
        </w:tc>
        <w:tc>
          <w:tcPr>
            <w:tcW w:w="2160" w:type="dxa"/>
          </w:tcPr>
          <w:p w:rsidR="00B87AA9" w:rsidRPr="006866C7" w:rsidRDefault="00B87AA9" w:rsidP="002210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66C7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</w:t>
            </w:r>
          </w:p>
        </w:tc>
      </w:tr>
      <w:bookmarkEnd w:id="0"/>
    </w:tbl>
    <w:p w:rsidR="00205985" w:rsidRDefault="00205985"/>
    <w:sectPr w:rsidR="00205985" w:rsidSect="0020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F65E47"/>
    <w:rsid w:val="00205985"/>
    <w:rsid w:val="0042456D"/>
    <w:rsid w:val="00685C18"/>
    <w:rsid w:val="006866C7"/>
    <w:rsid w:val="00B87AA9"/>
    <w:rsid w:val="00E31D72"/>
    <w:rsid w:val="00EB676C"/>
    <w:rsid w:val="00F65E47"/>
    <w:rsid w:val="00F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7"/>
        <o:r id="V:Rule4" type="connector" idref="#_x0000_s1036"/>
      </o:rules>
    </o:shapelayout>
  </w:shapeDefaults>
  <w:decimalSymbol w:val="."/>
  <w:listSeparator w:val=","/>
  <w15:docId w15:val="{092F02CB-EF31-45B0-979B-9C8FABAD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65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amaghradze</dc:creator>
  <cp:keywords/>
  <dc:description/>
  <cp:lastModifiedBy>ნინო ტოპეშაშვილი</cp:lastModifiedBy>
  <cp:revision>14</cp:revision>
  <dcterms:created xsi:type="dcterms:W3CDTF">2013-12-30T07:48:00Z</dcterms:created>
  <dcterms:modified xsi:type="dcterms:W3CDTF">2017-10-27T06:04:00Z</dcterms:modified>
</cp:coreProperties>
</file>